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AA372B">
        <w:rPr>
          <w:rFonts w:ascii="Times New Roman" w:eastAsia="Calibri" w:hAnsi="Times New Roman" w:cs="Times New Roman"/>
          <w:b/>
          <w:color w:val="000000"/>
          <w:lang w:val="uk-UA" w:eastAsia="ru-RU"/>
        </w:rPr>
        <w:t>к</w:t>
      </w:r>
      <w:r w:rsidR="00AA372B" w:rsidRPr="00AA372B">
        <w:rPr>
          <w:rFonts w:ascii="Times New Roman" w:eastAsia="Calibri" w:hAnsi="Times New Roman" w:cs="Times New Roman"/>
          <w:b/>
          <w:color w:val="000000"/>
          <w:lang w:val="uk-UA" w:eastAsia="ru-RU"/>
        </w:rPr>
        <w:t>артопля столова пізня, клас перший, ДСТУ 9221</w:t>
      </w:r>
      <w:r w:rsidR="0053496F" w:rsidRPr="0053496F">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AA372B" w:rsidRPr="00AA372B">
        <w:rPr>
          <w:rFonts w:ascii="Times New Roman" w:eastAsia="Calibri" w:hAnsi="Times New Roman" w:cs="Times New Roman"/>
          <w:b/>
          <w:color w:val="000000"/>
          <w:lang w:val="uk-UA" w:eastAsia="ru-RU"/>
        </w:rPr>
        <w:t>Картопля столова пізня, клас перший, ДСТУ 9221</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AA372B" w:rsidRPr="00AA372B">
        <w:rPr>
          <w:rFonts w:ascii="Times New Roman" w:eastAsia="Calibri" w:hAnsi="Times New Roman" w:cs="Times New Roman"/>
          <w:b/>
          <w:color w:val="000000"/>
          <w:lang w:val="uk-UA" w:eastAsia="ru-RU"/>
        </w:rPr>
        <w:t>03210000-6 - Зернові культури та картопля</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w:t>
      </w:r>
      <w:bookmarkStart w:id="0" w:name="_GoBack"/>
      <w:bookmarkEnd w:id="0"/>
      <w:r w:rsidRPr="00DC02E1">
        <w:rPr>
          <w:rFonts w:ascii="Times New Roman" w:eastAsia="Calibri" w:hAnsi="Times New Roman" w:cs="Times New Roman"/>
          <w:color w:val="000000"/>
          <w:lang w:val="uk-UA" w:eastAsia="ru-RU"/>
        </w:rPr>
        <w:t>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AA372B"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21263"/>
    <w:rsid w:val="00304891"/>
    <w:rsid w:val="00332DBB"/>
    <w:rsid w:val="003562AB"/>
    <w:rsid w:val="0053496F"/>
    <w:rsid w:val="00745111"/>
    <w:rsid w:val="00753F72"/>
    <w:rsid w:val="00A27F86"/>
    <w:rsid w:val="00AA372B"/>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FC33"/>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2022-12-16T10:36:00Z</dcterms:created>
  <dcterms:modified xsi:type="dcterms:W3CDTF">2024-02-28T13:20:00Z</dcterms:modified>
</cp:coreProperties>
</file>