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Pr="00091304"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sidRPr="00091304">
              <w:rPr>
                <w:rFonts w:ascii="Times New Roman" w:hAnsi="Times New Roman" w:cs="Times New Roman"/>
                <w:sz w:val="24"/>
                <w:szCs w:val="24"/>
                <w:lang w:val="uk-UA" w:eastAsia="ar-SA"/>
              </w:rPr>
              <w:t>Інформаційна д</w:t>
            </w:r>
            <w:r w:rsidRPr="00091304">
              <w:rPr>
                <w:rFonts w:ascii="Times New Roman" w:hAnsi="Times New Roman" w:cs="Times New Roman"/>
                <w:sz w:val="24"/>
                <w:szCs w:val="24"/>
                <w:lang w:val="uk-UA" w:eastAsia="en-US"/>
              </w:rPr>
              <w:t>овідка</w:t>
            </w:r>
            <w:r w:rsidRPr="00091304">
              <w:rPr>
                <w:rFonts w:ascii="Times New Roman" w:hAnsi="Times New Roman" w:cs="Times New Roman"/>
                <w:sz w:val="24"/>
                <w:szCs w:val="24"/>
                <w:lang w:val="uk-UA" w:eastAsia="ar-SA"/>
              </w:rPr>
              <w:t xml:space="preserve"> (за </w:t>
            </w:r>
            <w:r w:rsidRPr="00091304">
              <w:rPr>
                <w:rFonts w:ascii="Times New Roman" w:hAnsi="Times New Roman" w:cs="Times New Roman"/>
                <w:b/>
                <w:sz w:val="24"/>
                <w:szCs w:val="24"/>
                <w:lang w:val="uk-UA" w:eastAsia="ar-SA"/>
              </w:rPr>
              <w:t>формою № 1</w:t>
            </w:r>
            <w:r w:rsidRPr="00091304">
              <w:rPr>
                <w:rFonts w:ascii="Times New Roman" w:hAnsi="Times New Roman" w:cs="Times New Roman"/>
                <w:sz w:val="24"/>
                <w:szCs w:val="24"/>
                <w:lang w:val="uk-UA" w:eastAsia="ar-SA"/>
              </w:rPr>
              <w:t>, що додається)</w:t>
            </w:r>
            <w:r w:rsidRPr="00091304">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sidRPr="00091304">
              <w:rPr>
                <w:rFonts w:ascii="Times New Roman" w:hAnsi="Times New Roman" w:cs="Times New Roman"/>
                <w:b/>
                <w:sz w:val="24"/>
                <w:szCs w:val="24"/>
                <w:lang w:val="uk-UA" w:eastAsia="en-US"/>
              </w:rPr>
              <w:t>з</w:t>
            </w:r>
            <w:r w:rsidRPr="00091304">
              <w:rPr>
                <w:rFonts w:ascii="Times New Roman" w:hAnsi="Times New Roman" w:cs="Times New Roman"/>
                <w:sz w:val="24"/>
                <w:szCs w:val="24"/>
                <w:lang w:val="uk-UA" w:eastAsia="en-US"/>
              </w:rPr>
              <w:t xml:space="preserve">акупівлі </w:t>
            </w:r>
            <w:r w:rsidRPr="00091304">
              <w:rPr>
                <w:rFonts w:ascii="Times New Roman" w:hAnsi="Times New Roman" w:cs="Times New Roman"/>
                <w:b/>
                <w:i/>
                <w:sz w:val="24"/>
                <w:szCs w:val="24"/>
                <w:lang w:val="uk-UA" w:eastAsia="en-US"/>
              </w:rPr>
              <w:t xml:space="preserve"> (ДК 021:2015 - </w:t>
            </w:r>
            <w:r w:rsidRPr="00091304">
              <w:rPr>
                <w:rFonts w:ascii="Times New Roman" w:hAnsi="Times New Roman" w:cs="Times New Roman"/>
                <w:b/>
                <w:i/>
                <w:sz w:val="24"/>
                <w:szCs w:val="24"/>
                <w:lang w:val="uk-UA"/>
              </w:rPr>
              <w:t>09310000-5 – Електрична енергія)</w:t>
            </w:r>
            <w:r w:rsidRPr="00091304">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sidRPr="00091304">
              <w:rPr>
                <w:rFonts w:ascii="Times New Roman" w:hAnsi="Times New Roman" w:cs="Times New Roman"/>
                <w:sz w:val="24"/>
                <w:szCs w:val="24"/>
                <w:lang w:val="uk-UA"/>
              </w:rPr>
              <w:t>актів прийняття-передачі</w:t>
            </w:r>
            <w:r w:rsidRPr="00091304">
              <w:rPr>
                <w:rFonts w:ascii="Times New Roman" w:hAnsi="Times New Roman" w:cs="Times New Roman"/>
                <w:sz w:val="24"/>
                <w:szCs w:val="24"/>
                <w:lang w:val="uk-UA" w:eastAsia="en-US"/>
              </w:rPr>
              <w:t>) на постачання відповідного товару.</w:t>
            </w:r>
          </w:p>
          <w:p w:rsidR="00D435AF" w:rsidRPr="00091304" w:rsidRDefault="00D435AF" w:rsidP="00D435AF">
            <w:pPr>
              <w:pStyle w:val="tbl-cod"/>
              <w:spacing w:before="0" w:beforeAutospacing="0" w:after="0" w:afterAutospacing="0"/>
              <w:jc w:val="both"/>
              <w:rPr>
                <w:i/>
              </w:rPr>
            </w:pPr>
            <w:r w:rsidRPr="00091304">
              <w:rPr>
                <w:rFonts w:eastAsia="Calibri"/>
                <w:b/>
                <w:lang w:eastAsia="en-US"/>
              </w:rPr>
              <w:t>Аналогічним вважається</w:t>
            </w:r>
            <w:r w:rsidRPr="00091304">
              <w:rPr>
                <w:rFonts w:eastAsia="Calibri"/>
                <w:lang w:eastAsia="en-US"/>
              </w:rPr>
              <w:t xml:space="preserve"> договір поставки аналогічних предмету закупівлі товарів – </w:t>
            </w:r>
            <w:r w:rsidRPr="00091304">
              <w:rPr>
                <w:rFonts w:eastAsia="Calibri"/>
                <w:b/>
                <w:i/>
                <w:lang w:eastAsia="en-US"/>
              </w:rPr>
              <w:t xml:space="preserve">(ДК 021:2015 - </w:t>
            </w:r>
            <w:r w:rsidRPr="00091304">
              <w:rPr>
                <w:b/>
                <w:i/>
              </w:rPr>
              <w:t>09310000-5 – Електрична енергія)</w:t>
            </w:r>
            <w:r w:rsidR="00E35EDA" w:rsidRPr="00091304">
              <w:t xml:space="preserve"> 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sidRPr="00091304">
              <w:rPr>
                <w:rFonts w:ascii="Times New Roman" w:hAnsi="Times New Roman" w:cs="Times New Roman"/>
                <w:sz w:val="24"/>
                <w:szCs w:val="24"/>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sidRPr="00091304">
              <w:rPr>
                <w:rFonts w:ascii="Times New Roman" w:hAnsi="Times New Roman" w:cs="Times New Roman"/>
                <w:sz w:val="24"/>
                <w:szCs w:val="24"/>
              </w:rPr>
              <w:t>(</w:t>
            </w:r>
            <w:proofErr w:type="spellStart"/>
            <w:r w:rsidRPr="00091304">
              <w:rPr>
                <w:rFonts w:ascii="Times New Roman" w:hAnsi="Times New Roman" w:cs="Times New Roman"/>
                <w:sz w:val="24"/>
                <w:szCs w:val="24"/>
              </w:rPr>
              <w:t>акти</w:t>
            </w:r>
            <w:proofErr w:type="spellEnd"/>
            <w:r w:rsidRPr="00091304">
              <w:rPr>
                <w:rFonts w:ascii="Times New Roman" w:hAnsi="Times New Roman" w:cs="Times New Roman"/>
                <w:sz w:val="24"/>
                <w:szCs w:val="24"/>
              </w:rPr>
              <w:t xml:space="preserve"> </w:t>
            </w:r>
            <w:proofErr w:type="spellStart"/>
            <w:r w:rsidRPr="00091304">
              <w:rPr>
                <w:rFonts w:ascii="Times New Roman" w:hAnsi="Times New Roman" w:cs="Times New Roman"/>
                <w:sz w:val="24"/>
                <w:szCs w:val="24"/>
              </w:rPr>
              <w:t>прийняття-передачі</w:t>
            </w:r>
            <w:proofErr w:type="spellEnd"/>
            <w:r w:rsidRPr="00091304">
              <w:rPr>
                <w:rFonts w:ascii="Times New Roman" w:hAnsi="Times New Roman" w:cs="Times New Roman"/>
                <w:sz w:val="24"/>
                <w:szCs w:val="24"/>
              </w:rPr>
              <w:t xml:space="preserve"> товару</w:t>
            </w:r>
            <w:r w:rsidRPr="00091304">
              <w:rPr>
                <w:rFonts w:ascii="Times New Roman" w:hAnsi="Times New Roman" w:cs="Times New Roman"/>
                <w:sz w:val="24"/>
                <w:szCs w:val="24"/>
                <w:lang w:val="uk-UA"/>
              </w:rPr>
              <w:t xml:space="preserve"> підписані сторонами договору</w:t>
            </w:r>
            <w:r w:rsidRPr="00091304">
              <w:rPr>
                <w:rFonts w:ascii="Times New Roman" w:hAnsi="Times New Roman" w:cs="Times New Roman"/>
                <w:sz w:val="24"/>
                <w:szCs w:val="24"/>
              </w:rPr>
              <w:t xml:space="preserve"> </w:t>
            </w:r>
            <w:proofErr w:type="spellStart"/>
            <w:r w:rsidRPr="00091304">
              <w:rPr>
                <w:rFonts w:ascii="Times New Roman" w:hAnsi="Times New Roman" w:cs="Times New Roman"/>
                <w:sz w:val="24"/>
                <w:szCs w:val="24"/>
              </w:rPr>
              <w:t>тощо</w:t>
            </w:r>
            <w:proofErr w:type="spellEnd"/>
            <w:r w:rsidRPr="00091304">
              <w:rPr>
                <w:rFonts w:ascii="Times New Roman" w:hAnsi="Times New Roman" w:cs="Times New Roman"/>
                <w:sz w:val="24"/>
                <w:szCs w:val="24"/>
              </w:rPr>
              <w:t>)</w:t>
            </w:r>
            <w:r w:rsidRPr="00091304">
              <w:rPr>
                <w:rFonts w:ascii="Times New Roman" w:hAnsi="Times New Roman" w:cs="Times New Roman"/>
                <w:sz w:val="24"/>
                <w:szCs w:val="24"/>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bookmarkStart w:id="0" w:name="_GoBack"/>
        <w:bookmarkEnd w:id="0"/>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09130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4030ED"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09130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4030ED" w:rsidRDefault="00CD4426">
      <w:pPr>
        <w:spacing w:after="0" w:line="240" w:lineRule="auto"/>
        <w:rPr>
          <w:rFonts w:ascii="Times New Roman" w:eastAsia="Times New Roman" w:hAnsi="Times New Roman" w:cs="Times New Roman"/>
          <w:b/>
          <w:color w:val="000000"/>
          <w:sz w:val="20"/>
          <w:szCs w:val="20"/>
          <w:lang w:val="uk-UA"/>
        </w:rPr>
      </w:pPr>
    </w:p>
    <w:p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09130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09130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091304"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091304"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091304"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7A2DCE" w:rsidRDefault="004030ED" w:rsidP="009856E1">
            <w:pPr>
              <w:spacing w:after="0" w:line="240" w:lineRule="auto"/>
              <w:ind w:left="120" w:right="120" w:hanging="20"/>
              <w:jc w:val="both"/>
              <w:rPr>
                <w:rFonts w:ascii="Times New Roman" w:eastAsia="Times New Roman" w:hAnsi="Times New Roman" w:cs="Times New Roman"/>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Pr="007A2DCE">
              <w:rPr>
                <w:rFonts w:ascii="Times New Roman" w:eastAsia="Times New Roman" w:hAnsi="Times New Roman" w:cs="Times New Roman"/>
                <w:color w:val="000000"/>
                <w:lang w:val="uk-UA"/>
              </w:rPr>
              <w:t xml:space="preserve"> та громадянство.</w:t>
            </w:r>
          </w:p>
          <w:p w:rsidR="00CD4426" w:rsidRPr="004030ED" w:rsidRDefault="004030ED" w:rsidP="009856E1">
            <w:pPr>
              <w:spacing w:after="0" w:line="240" w:lineRule="auto"/>
              <w:ind w:left="10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i/>
                <w:color w:val="00000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не функціонує. Інформація про кінцевого </w:t>
            </w:r>
            <w:proofErr w:type="spellStart"/>
            <w:r w:rsidRPr="007A2DCE">
              <w:rPr>
                <w:rFonts w:ascii="Times New Roman" w:eastAsia="Times New Roman" w:hAnsi="Times New Roman" w:cs="Times New Roman"/>
                <w:i/>
                <w:color w:val="000000"/>
                <w:lang w:val="uk-UA"/>
              </w:rPr>
              <w:t>бенефіціарного</w:t>
            </w:r>
            <w:proofErr w:type="spellEnd"/>
            <w:r w:rsidRPr="007A2DCE">
              <w:rPr>
                <w:rFonts w:ascii="Times New Roman" w:eastAsia="Times New Roman" w:hAnsi="Times New Roman" w:cs="Times New Roman"/>
                <w:i/>
                <w:color w:val="000000"/>
                <w:lang w:val="uk-UA"/>
              </w:rPr>
              <w:t xml:space="preserve"> власника зазначається в довідці лише учасниками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A2DCE">
              <w:rPr>
                <w:rFonts w:ascii="Times New Roman" w:eastAsia="Times New Roman" w:hAnsi="Times New Roman" w:cs="Times New Roman"/>
                <w:i/>
                <w:lang w:val="uk-UA"/>
              </w:rPr>
              <w:t>—</w:t>
            </w:r>
            <w:r w:rsidRPr="007A2DCE">
              <w:rPr>
                <w:rFonts w:ascii="Times New Roman" w:eastAsia="Times New Roman" w:hAnsi="Times New Roman" w:cs="Times New Roman"/>
                <w:i/>
                <w:color w:val="000000"/>
                <w:lang w:val="uk-UA"/>
              </w:rPr>
              <w:t xml:space="preserve"> підприємців та громадських формувань».</w:t>
            </w:r>
            <w:r w:rsidRPr="004030ED">
              <w:rPr>
                <w:rFonts w:ascii="Times New Roman" w:eastAsia="Times New Roman" w:hAnsi="Times New Roman" w:cs="Times New Roman"/>
                <w:i/>
                <w:color w:val="000000"/>
                <w:sz w:val="20"/>
                <w:szCs w:val="20"/>
                <w:lang w:val="uk-UA"/>
              </w:rPr>
              <w:t> </w:t>
            </w:r>
          </w:p>
        </w:tc>
      </w:tr>
      <w:tr w:rsidR="00CD4426" w:rsidRPr="00091304"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9001:2015 (ISO 9001:2015, IDT) / ДСТУ ISO 9001:2018 «Системи управління якістю. Вимоги», виданого на ім‘я учасника </w:t>
            </w:r>
            <w:r w:rsidRPr="007A2DCE">
              <w:rPr>
                <w:rFonts w:ascii="Times New Roman" w:hAnsi="Times New Roman" w:cs="Times New Roman"/>
                <w:lang w:val="uk-UA"/>
              </w:rPr>
              <w:lastRenderedPageBreak/>
              <w:t>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9D081F"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091304"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D4426"/>
    <w:rsid w:val="00010E30"/>
    <w:rsid w:val="00091304"/>
    <w:rsid w:val="00100F31"/>
    <w:rsid w:val="004030ED"/>
    <w:rsid w:val="004C2741"/>
    <w:rsid w:val="004D5632"/>
    <w:rsid w:val="0060620A"/>
    <w:rsid w:val="006A3492"/>
    <w:rsid w:val="007A2DCE"/>
    <w:rsid w:val="00827D09"/>
    <w:rsid w:val="008312AF"/>
    <w:rsid w:val="009041AF"/>
    <w:rsid w:val="009856E1"/>
    <w:rsid w:val="009D081F"/>
    <w:rsid w:val="00A03E30"/>
    <w:rsid w:val="00BC34E4"/>
    <w:rsid w:val="00BE2916"/>
    <w:rsid w:val="00C416D0"/>
    <w:rsid w:val="00C815BE"/>
    <w:rsid w:val="00CB51F1"/>
    <w:rsid w:val="00CD4426"/>
    <w:rsid w:val="00D435AF"/>
    <w:rsid w:val="00E3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27D9A4-5A16-48DD-AAA5-E9C9731F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Ольга Василівна Мангул</cp:lastModifiedBy>
  <cp:revision>21</cp:revision>
  <dcterms:created xsi:type="dcterms:W3CDTF">2022-10-24T07:10:00Z</dcterms:created>
  <dcterms:modified xsi:type="dcterms:W3CDTF">2022-11-14T11:49:00Z</dcterms:modified>
</cp:coreProperties>
</file>