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81C90" w14:textId="14FFF749" w:rsidR="00D2288E" w:rsidRPr="00B378DC" w:rsidRDefault="00D2288E" w:rsidP="00FB4C6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8DC">
        <w:rPr>
          <w:rFonts w:ascii="Times New Roman" w:eastAsia="Times New Roman" w:hAnsi="Times New Roman" w:cs="Times New Roman"/>
          <w:b/>
          <w:sz w:val="24"/>
          <w:szCs w:val="24"/>
        </w:rPr>
        <w:t>Додаток № 3 до тендерної документації</w:t>
      </w:r>
    </w:p>
    <w:p w14:paraId="3ABE654A" w14:textId="77777777" w:rsidR="009F39C9" w:rsidRPr="00B378DC" w:rsidRDefault="009F39C9" w:rsidP="00FB4C6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03A968" w14:textId="3540A372" w:rsidR="00D2288E" w:rsidRPr="00B378DC" w:rsidRDefault="00D2288E" w:rsidP="00FB4C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8DC">
        <w:rPr>
          <w:rFonts w:ascii="Times New Roman" w:eastAsia="Times New Roman" w:hAnsi="Times New Roman" w:cs="Times New Roman"/>
          <w:b/>
          <w:sz w:val="24"/>
          <w:szCs w:val="24"/>
        </w:rPr>
        <w:t xml:space="preserve">Інформація про необхідні технічні, якісні та кількісні характеристики предмета закупівлі та технічна специфікація до предмета закупівлі </w:t>
      </w:r>
    </w:p>
    <w:p w14:paraId="7FD92A7B" w14:textId="4BE47393" w:rsidR="0054095A" w:rsidRPr="00B378DC" w:rsidRDefault="0054095A" w:rsidP="001E3391">
      <w:pPr>
        <w:pStyle w:val="2"/>
        <w:tabs>
          <w:tab w:val="center" w:pos="5102"/>
        </w:tabs>
        <w:spacing w:before="0" w:after="0"/>
        <w:jc w:val="center"/>
        <w:rPr>
          <w:rFonts w:cs="Times New Roman"/>
          <w:iCs w:val="0"/>
          <w:szCs w:val="24"/>
          <w:lang w:val="ru-RU"/>
        </w:rPr>
      </w:pPr>
      <w:r w:rsidRPr="00B378DC">
        <w:rPr>
          <w:rFonts w:cs="Times New Roman"/>
          <w:iCs w:val="0"/>
          <w:szCs w:val="24"/>
          <w:lang w:val="ru-RU"/>
        </w:rPr>
        <w:t xml:space="preserve">Бензин А-95 (талони) </w:t>
      </w:r>
      <w:bookmarkStart w:id="0" w:name="_GoBack"/>
      <w:bookmarkEnd w:id="0"/>
      <w:r w:rsidRPr="00B378DC">
        <w:rPr>
          <w:rFonts w:cs="Times New Roman"/>
          <w:iCs w:val="0"/>
          <w:szCs w:val="24"/>
          <w:lang w:val="ru-RU"/>
        </w:rPr>
        <w:t>код за ДК 021:2015 - 09130000-9</w:t>
      </w:r>
      <w:r w:rsidRPr="00B378DC">
        <w:rPr>
          <w:rFonts w:cs="Times New Roman"/>
          <w:iCs w:val="0"/>
          <w:szCs w:val="24"/>
        </w:rPr>
        <w:t> </w:t>
      </w:r>
      <w:r w:rsidRPr="00B378DC">
        <w:rPr>
          <w:rFonts w:cs="Times New Roman"/>
          <w:iCs w:val="0"/>
          <w:szCs w:val="24"/>
          <w:lang w:val="ru-RU"/>
        </w:rPr>
        <w:t>– Нафта і дистиляти</w:t>
      </w:r>
    </w:p>
    <w:p w14:paraId="2824AC3C" w14:textId="77777777" w:rsidR="0054095A" w:rsidRPr="00B378DC" w:rsidRDefault="0054095A" w:rsidP="00FB4C6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78DC">
        <w:rPr>
          <w:rFonts w:ascii="Times New Roman" w:hAnsi="Times New Roman" w:cs="Times New Roman"/>
          <w:sz w:val="24"/>
          <w:szCs w:val="24"/>
          <w:lang w:val="ru-RU"/>
        </w:rPr>
        <w:t xml:space="preserve">         1.</w:t>
      </w:r>
      <w:r w:rsidRPr="00B378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378DC">
        <w:rPr>
          <w:rFonts w:ascii="Times New Roman" w:hAnsi="Times New Roman" w:cs="Times New Roman"/>
          <w:sz w:val="24"/>
          <w:szCs w:val="24"/>
          <w:lang w:val="ru-RU"/>
        </w:rPr>
        <w:t xml:space="preserve">Кількісні вимоги до предмету закупівлі: </w:t>
      </w:r>
    </w:p>
    <w:tbl>
      <w:tblPr>
        <w:tblW w:w="9351" w:type="dxa"/>
        <w:jc w:val="center"/>
        <w:tblLook w:val="0000" w:firstRow="0" w:lastRow="0" w:firstColumn="0" w:lastColumn="0" w:noHBand="0" w:noVBand="0"/>
      </w:tblPr>
      <w:tblGrid>
        <w:gridCol w:w="500"/>
        <w:gridCol w:w="3452"/>
        <w:gridCol w:w="1219"/>
        <w:gridCol w:w="1275"/>
        <w:gridCol w:w="2905"/>
      </w:tblGrid>
      <w:tr w:rsidR="0054095A" w:rsidRPr="00B378DC" w14:paraId="1753E5CB" w14:textId="77777777" w:rsidTr="009F39C9">
        <w:trPr>
          <w:trHeight w:val="515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F04A1F" w14:textId="77777777" w:rsidR="0054095A" w:rsidRPr="00B378DC" w:rsidRDefault="0054095A" w:rsidP="00FB4C66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378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№ з/п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585650" w14:textId="77777777" w:rsidR="0054095A" w:rsidRPr="00B378DC" w:rsidRDefault="0054095A" w:rsidP="00FB4C66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378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Найменування предмета закупівлі (марка)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9F406BD" w14:textId="77777777" w:rsidR="0054095A" w:rsidRPr="00B378DC" w:rsidRDefault="0054095A" w:rsidP="00FB4C6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378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B36C09" w14:textId="77777777" w:rsidR="0054095A" w:rsidRPr="00B378DC" w:rsidRDefault="0054095A" w:rsidP="00FB4C66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378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Кількість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4453E9" w14:textId="77777777" w:rsidR="0054095A" w:rsidRPr="00B378DC" w:rsidRDefault="0054095A" w:rsidP="00FB4C66">
            <w:pPr>
              <w:widowControl w:val="0"/>
              <w:snapToGrid w:val="0"/>
              <w:spacing w:after="0"/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378DC">
              <w:rPr>
                <w:rFonts w:ascii="Times New Roman" w:hAnsi="Times New Roman" w:cs="Times New Roman"/>
                <w:b/>
                <w:sz w:val="24"/>
                <w:szCs w:val="24"/>
              </w:rPr>
              <w:t>Строк поставки товару</w:t>
            </w:r>
          </w:p>
        </w:tc>
      </w:tr>
      <w:tr w:rsidR="0054095A" w:rsidRPr="00B378DC" w14:paraId="17FD3C2B" w14:textId="77777777" w:rsidTr="009F39C9">
        <w:trPr>
          <w:trHeight w:val="389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A34F8D" w14:textId="77777777" w:rsidR="0054095A" w:rsidRPr="00B378DC" w:rsidRDefault="0054095A" w:rsidP="00FB4C66">
            <w:pPr>
              <w:pStyle w:val="2"/>
              <w:tabs>
                <w:tab w:val="center" w:pos="5102"/>
              </w:tabs>
              <w:spacing w:before="0" w:after="0"/>
              <w:rPr>
                <w:rFonts w:cs="Times New Roman"/>
                <w:b w:val="0"/>
                <w:iCs w:val="0"/>
                <w:szCs w:val="24"/>
              </w:rPr>
            </w:pPr>
          </w:p>
          <w:p w14:paraId="7C2F8D8A" w14:textId="77777777" w:rsidR="0054095A" w:rsidRPr="00B378DC" w:rsidRDefault="0054095A" w:rsidP="00FB4C66">
            <w:pPr>
              <w:pStyle w:val="2"/>
              <w:tabs>
                <w:tab w:val="center" w:pos="5102"/>
              </w:tabs>
              <w:spacing w:before="0" w:after="0"/>
              <w:rPr>
                <w:rFonts w:cs="Times New Roman"/>
                <w:b w:val="0"/>
                <w:iCs w:val="0"/>
                <w:szCs w:val="24"/>
              </w:rPr>
            </w:pPr>
            <w:r w:rsidRPr="00B378DC">
              <w:rPr>
                <w:rFonts w:cs="Times New Roman"/>
                <w:b w:val="0"/>
                <w:iCs w:val="0"/>
                <w:szCs w:val="24"/>
                <w:lang w:val="uk-UA"/>
              </w:rPr>
              <w:t>1</w:t>
            </w:r>
            <w:r w:rsidRPr="00B378DC">
              <w:rPr>
                <w:rFonts w:cs="Times New Roman"/>
                <w:b w:val="0"/>
                <w:iCs w:val="0"/>
                <w:szCs w:val="24"/>
              </w:rPr>
              <w:t>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55E59D" w14:textId="77777777" w:rsidR="0054095A" w:rsidRPr="00B378DC" w:rsidRDefault="0054095A" w:rsidP="00FB4C66">
            <w:pPr>
              <w:pStyle w:val="2"/>
              <w:spacing w:before="0" w:after="0"/>
              <w:jc w:val="both"/>
              <w:rPr>
                <w:rFonts w:cs="Times New Roman"/>
                <w:b w:val="0"/>
                <w:iCs w:val="0"/>
                <w:szCs w:val="24"/>
              </w:rPr>
            </w:pPr>
          </w:p>
          <w:p w14:paraId="455682E3" w14:textId="77777777" w:rsidR="0054095A" w:rsidRPr="00B378DC" w:rsidRDefault="0054095A" w:rsidP="00FB4C66">
            <w:pPr>
              <w:pStyle w:val="2"/>
              <w:spacing w:before="0" w:after="0"/>
              <w:jc w:val="both"/>
              <w:rPr>
                <w:rFonts w:cs="Times New Roman"/>
                <w:b w:val="0"/>
                <w:iCs w:val="0"/>
                <w:szCs w:val="24"/>
              </w:rPr>
            </w:pPr>
            <w:r w:rsidRPr="00B378DC">
              <w:rPr>
                <w:rFonts w:cs="Times New Roman"/>
                <w:b w:val="0"/>
                <w:iCs w:val="0"/>
                <w:szCs w:val="24"/>
              </w:rPr>
              <w:t>Бензин А – 95 (талони)</w:t>
            </w:r>
          </w:p>
          <w:p w14:paraId="22E829EA" w14:textId="77777777" w:rsidR="0054095A" w:rsidRPr="00B378DC" w:rsidRDefault="0054095A" w:rsidP="00FB4C66">
            <w:pPr>
              <w:pStyle w:val="2"/>
              <w:spacing w:before="0" w:after="0"/>
              <w:jc w:val="both"/>
              <w:rPr>
                <w:rFonts w:cs="Times New Roman"/>
                <w:b w:val="0"/>
                <w:iCs w:val="0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F9CBB9E" w14:textId="77777777" w:rsidR="0054095A" w:rsidRPr="00B378DC" w:rsidRDefault="0054095A" w:rsidP="00FB4C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D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66C6B" w14:textId="77777777" w:rsidR="0054095A" w:rsidRPr="00B378DC" w:rsidRDefault="0054095A" w:rsidP="00FB4C66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378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2000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0A44C7" w14:textId="1AD79573" w:rsidR="0054095A" w:rsidRPr="00B378DC" w:rsidRDefault="0054095A" w:rsidP="00FB4C6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78D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E65A7" w:rsidRPr="00B378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3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DBE" w:rsidRPr="00B378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грудня</w:t>
            </w:r>
            <w:r w:rsidRPr="00B378DC">
              <w:rPr>
                <w:rFonts w:ascii="Times New Roman" w:hAnsi="Times New Roman" w:cs="Times New Roman"/>
                <w:sz w:val="24"/>
                <w:szCs w:val="24"/>
              </w:rPr>
              <w:t xml:space="preserve"> 2022 року включно</w:t>
            </w:r>
          </w:p>
        </w:tc>
      </w:tr>
    </w:tbl>
    <w:p w14:paraId="68FA0819" w14:textId="77777777" w:rsidR="0054095A" w:rsidRPr="00B378DC" w:rsidRDefault="0054095A" w:rsidP="00FB4C6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8DC">
        <w:rPr>
          <w:rFonts w:ascii="Times New Roman" w:hAnsi="Times New Roman" w:cs="Times New Roman"/>
          <w:bCs/>
          <w:sz w:val="24"/>
          <w:szCs w:val="24"/>
        </w:rPr>
        <w:t>2. Якість предмета закупівлі повинна відповідати діючим в Україні на момент його закупівлі Державним стандартам і підтверджуватися Сертифікатом відповідності підприємства-виробника</w:t>
      </w:r>
      <w:r w:rsidRPr="00B378DC">
        <w:rPr>
          <w:rFonts w:ascii="Times New Roman" w:hAnsi="Times New Roman" w:cs="Times New Roman"/>
          <w:b/>
          <w:sz w:val="24"/>
          <w:szCs w:val="24"/>
        </w:rPr>
        <w:t>.</w:t>
      </w:r>
      <w:r w:rsidRPr="00B378D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B15960D" w14:textId="77777777" w:rsidR="0054095A" w:rsidRPr="00B378DC" w:rsidRDefault="0054095A" w:rsidP="00FB4C6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378DC">
        <w:rPr>
          <w:rFonts w:ascii="Times New Roman" w:hAnsi="Times New Roman" w:cs="Times New Roman"/>
          <w:bCs/>
          <w:sz w:val="24"/>
          <w:szCs w:val="24"/>
          <w:lang w:val="ru-RU"/>
        </w:rPr>
        <w:t>Інформація про відповідність запропонованого товару технічним вимогам документації повинна бути підтверджена у складі пропозиції наступними документами (копії, завірені мокрою печаткою (у разі наявності печатки) та підписом відповідальної особи учасника): сертифікату відповідності чи паспорту якості на товар чи іншого документу, який  підтверджує якість та відповідність товару, дійсного на  дату подання пропозицій.</w:t>
      </w:r>
    </w:p>
    <w:p w14:paraId="662A4AEF" w14:textId="1470F144" w:rsidR="0054095A" w:rsidRPr="00B378DC" w:rsidRDefault="0054095A" w:rsidP="00FB4C6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378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 </w:t>
      </w:r>
      <w:r w:rsidRPr="00B378DC">
        <w:rPr>
          <w:rFonts w:ascii="Times New Roman" w:hAnsi="Times New Roman" w:cs="Times New Roman"/>
          <w:sz w:val="24"/>
          <w:szCs w:val="24"/>
          <w:lang w:val="ru-RU"/>
        </w:rPr>
        <w:t>Учасник повинен надати у складі тендерної пропозиції довідку в довільній формі про перелік власних або орендованих (автозаправних станцій) АЗС із зазначенням адреси місцезнаходження, що розташовані в межах</w:t>
      </w:r>
      <w:r w:rsidR="001E3391">
        <w:rPr>
          <w:rFonts w:ascii="Times New Roman" w:hAnsi="Times New Roman" w:cs="Times New Roman"/>
          <w:sz w:val="24"/>
          <w:szCs w:val="24"/>
          <w:lang w:val="ru-RU"/>
        </w:rPr>
        <w:t xml:space="preserve"> Димерської ТГ</w:t>
      </w:r>
      <w:r w:rsidRPr="00B378DC">
        <w:rPr>
          <w:rFonts w:ascii="Times New Roman" w:hAnsi="Times New Roman" w:cs="Times New Roman"/>
          <w:sz w:val="24"/>
          <w:szCs w:val="24"/>
          <w:lang w:val="ru-RU"/>
        </w:rPr>
        <w:t xml:space="preserve"> Вишгородського району Київської області</w:t>
      </w:r>
      <w:r w:rsidRPr="00B378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4B2C09DE" w14:textId="0CD19F6B" w:rsidR="009F39C9" w:rsidRPr="00B378DC" w:rsidRDefault="009F39C9" w:rsidP="009F39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8DC">
        <w:rPr>
          <w:rFonts w:ascii="Times New Roman" w:hAnsi="Times New Roman" w:cs="Times New Roman"/>
          <w:sz w:val="24"/>
          <w:szCs w:val="24"/>
          <w:lang w:val="ru-RU"/>
        </w:rPr>
        <w:t>4. Учасник повинен надати у складі тендерної пропозиції</w:t>
      </w:r>
      <w:r w:rsidRPr="00B378DC">
        <w:rPr>
          <w:rFonts w:ascii="Times New Roman" w:hAnsi="Times New Roman" w:cs="Times New Roman"/>
          <w:sz w:val="24"/>
          <w:szCs w:val="24"/>
        </w:rPr>
        <w:t xml:space="preserve"> довідку-зобов’язання поставити товар вчасно згідно термінів</w:t>
      </w:r>
      <w:r w:rsidR="00634981" w:rsidRPr="00B378DC">
        <w:rPr>
          <w:rFonts w:ascii="Times New Roman" w:hAnsi="Times New Roman" w:cs="Times New Roman"/>
          <w:sz w:val="24"/>
          <w:szCs w:val="24"/>
        </w:rPr>
        <w:t>.</w:t>
      </w:r>
    </w:p>
    <w:p w14:paraId="5AB92207" w14:textId="2CE125B4" w:rsidR="00FA40DE" w:rsidRPr="00B378DC" w:rsidRDefault="00634981" w:rsidP="00FA40D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378DC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="0054095A" w:rsidRPr="00B378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Отримання товару буде здійснюватися Покупцем – безпосередньо на АЗС. </w:t>
      </w:r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 xml:space="preserve">Паливо відпускається на підставі пред’явлення: або талонів – дозволів, або накладної, та/або забірної відомості за підписом визначених осіб на отримання палива на власних або орендованих АЗС учасника-переможця торгів . </w:t>
      </w:r>
      <w:r w:rsidR="0054095A" w:rsidRPr="00B378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Заправка паливом повинна здійснюватися цілодобово на відповідних АЗС Учасника. </w:t>
      </w:r>
    </w:p>
    <w:p w14:paraId="1DA7D34C" w14:textId="27E65ACC" w:rsidR="00FA40DE" w:rsidRPr="00B378DC" w:rsidRDefault="00634981" w:rsidP="00FA40D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378DC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FA40DE" w:rsidRPr="00B378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FA40DE" w:rsidRPr="00B378DC">
        <w:rPr>
          <w:rFonts w:ascii="Times New Roman" w:hAnsi="Times New Roman" w:cs="Times New Roman"/>
          <w:color w:val="000000"/>
          <w:sz w:val="24"/>
          <w:szCs w:val="24"/>
        </w:rPr>
        <w:t xml:space="preserve">Строк дії </w:t>
      </w:r>
      <w:r w:rsidR="00FA40DE" w:rsidRPr="00B378DC">
        <w:rPr>
          <w:rFonts w:ascii="Times New Roman" w:hAnsi="Times New Roman" w:cs="Times New Roman"/>
          <w:sz w:val="24"/>
          <w:szCs w:val="24"/>
        </w:rPr>
        <w:t>талонів</w:t>
      </w:r>
      <w:r w:rsidR="00FA40DE" w:rsidRPr="00B378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40DE" w:rsidRPr="00B378DC">
        <w:rPr>
          <w:rFonts w:ascii="Times New Roman" w:hAnsi="Times New Roman" w:cs="Times New Roman"/>
          <w:sz w:val="24"/>
          <w:szCs w:val="24"/>
        </w:rPr>
        <w:t>має становити не менше</w:t>
      </w:r>
      <w:r w:rsidR="00FA40DE" w:rsidRPr="00B37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5A7" w:rsidRPr="00B378D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A40DE" w:rsidRPr="00B378DC">
        <w:rPr>
          <w:rFonts w:ascii="Times New Roman" w:hAnsi="Times New Roman" w:cs="Times New Roman"/>
          <w:color w:val="000000"/>
          <w:sz w:val="24"/>
          <w:szCs w:val="24"/>
        </w:rPr>
        <w:t xml:space="preserve"> місяців </w:t>
      </w:r>
      <w:r w:rsidR="00FA40DE" w:rsidRPr="00B378DC">
        <w:rPr>
          <w:rFonts w:ascii="Times New Roman" w:hAnsi="Times New Roman" w:cs="Times New Roman"/>
          <w:sz w:val="24"/>
          <w:szCs w:val="24"/>
        </w:rPr>
        <w:t>з дня їх видачі.</w:t>
      </w:r>
    </w:p>
    <w:p w14:paraId="4A61BE16" w14:textId="71A3ACED" w:rsidR="00FA40DE" w:rsidRPr="00B378DC" w:rsidRDefault="00FA40DE" w:rsidP="00FA4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8DC">
        <w:rPr>
          <w:rFonts w:ascii="Times New Roman" w:hAnsi="Times New Roman" w:cs="Times New Roman"/>
          <w:sz w:val="24"/>
          <w:szCs w:val="24"/>
        </w:rPr>
        <w:t>У разі закінчення строку дії талонів на видачу бензину, Учасник повинен мати можливість провести їх обмін на інші з новим строком дії. У разі, якщо Учасник здійснює перехід на талони нового зразку, він повинен здійснити рівноцінний обмін талонів старого зразку, що залишилися у Замовника та не були реалізовані, на талони, в тому числі тих, що залишились у Замовника після закінчення строку їх дії.</w:t>
      </w:r>
    </w:p>
    <w:p w14:paraId="771D29FC" w14:textId="77777777" w:rsidR="00602414" w:rsidRPr="00B378DC" w:rsidRDefault="00602414" w:rsidP="00602414">
      <w:pPr>
        <w:pStyle w:val="11"/>
        <w:spacing w:after="0"/>
        <w:ind w:left="360"/>
        <w:jc w:val="both"/>
        <w:rPr>
          <w:rFonts w:ascii="Times New Roman" w:eastAsia="Times New Roman" w:hAnsi="Times New Roman"/>
          <w:color w:val="000000"/>
          <w:lang w:val="uk-UA"/>
        </w:rPr>
      </w:pPr>
      <w:r w:rsidRPr="00B378DC">
        <w:rPr>
          <w:rFonts w:ascii="Times New Roman" w:hAnsi="Times New Roman"/>
          <w:lang w:val="uk-UA"/>
        </w:rPr>
        <w:t xml:space="preserve">7. </w:t>
      </w:r>
      <w:r w:rsidRPr="00B378DC">
        <w:rPr>
          <w:rFonts w:ascii="Times New Roman" w:eastAsia="Times New Roman" w:hAnsi="Times New Roman"/>
          <w:color w:val="000000"/>
          <w:lang w:val="uk-UA"/>
        </w:rPr>
        <w:t xml:space="preserve">Достовірна інформація у вигляді довідки довільної форми, в якій зазначити дані </w:t>
      </w:r>
    </w:p>
    <w:p w14:paraId="43548BBD" w14:textId="4C9B2667" w:rsidR="00602414" w:rsidRPr="00B378DC" w:rsidRDefault="00602414" w:rsidP="00602414">
      <w:pPr>
        <w:pStyle w:val="11"/>
        <w:spacing w:after="0"/>
        <w:jc w:val="both"/>
        <w:rPr>
          <w:rFonts w:ascii="Times New Roman" w:eastAsia="Times New Roman" w:hAnsi="Times New Roman"/>
          <w:color w:val="000000"/>
          <w:lang w:val="uk-UA"/>
        </w:rPr>
      </w:pPr>
      <w:r w:rsidRPr="00B378DC">
        <w:rPr>
          <w:rFonts w:ascii="Times New Roman" w:eastAsia="Times New Roman" w:hAnsi="Times New Roman"/>
          <w:color w:val="000000"/>
          <w:lang w:val="uk-UA"/>
        </w:rPr>
        <w:t xml:space="preserve">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</w:r>
      <w:r w:rsidRPr="00B378DC">
        <w:rPr>
          <w:rFonts w:ascii="Times New Roman" w:eastAsia="Times New Roman" w:hAnsi="Times New Roman"/>
          <w:color w:val="000000"/>
        </w:rPr>
        <w:t>Замість довідки довільної форми учасник може надати чинну ліцензію або документ дозвільного характеру</w:t>
      </w:r>
    </w:p>
    <w:p w14:paraId="5EE57963" w14:textId="10C70D47" w:rsidR="0054095A" w:rsidRPr="00B378DC" w:rsidRDefault="00602414" w:rsidP="00FB4C66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78D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4095A" w:rsidRPr="00B378DC">
        <w:rPr>
          <w:rFonts w:ascii="Times New Roman" w:hAnsi="Times New Roman" w:cs="Times New Roman"/>
          <w:sz w:val="24"/>
          <w:szCs w:val="24"/>
          <w:lang w:val="ru-RU"/>
        </w:rPr>
        <w:t>. Під час виконання договору про закупівлю учасник зобов’язується  дотримуватись передбачених чинним  законодавством вимог щодо  застосування заходів із захисту довкілля, в тому числі тих, що  передбачені згідно Закону України «Про охорону навколишнього природного середовища».</w:t>
      </w:r>
      <w:r w:rsidR="0054095A" w:rsidRPr="00B378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660E11D0" w14:textId="77777777" w:rsidR="009F39C9" w:rsidRPr="00B378DC" w:rsidRDefault="009F39C9" w:rsidP="00FB4C66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0512D9" w14:textId="48AC6C4C" w:rsidR="0054095A" w:rsidRPr="00B378DC" w:rsidRDefault="0054095A" w:rsidP="00FB4C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78DC">
        <w:rPr>
          <w:rFonts w:ascii="Times New Roman" w:hAnsi="Times New Roman" w:cs="Times New Roman"/>
          <w:sz w:val="24"/>
          <w:szCs w:val="24"/>
          <w:lang w:val="ru-RU"/>
        </w:rPr>
        <w:t xml:space="preserve">      _________________                           _______________                     ___________________</w:t>
      </w:r>
    </w:p>
    <w:p w14:paraId="0B1520AF" w14:textId="34E0B051" w:rsidR="00D2288E" w:rsidRPr="00B378DC" w:rsidRDefault="0054095A" w:rsidP="00602414">
      <w:pPr>
        <w:shd w:val="clear" w:color="auto" w:fill="FFFFFF"/>
        <w:tabs>
          <w:tab w:val="left" w:leader="underscore" w:pos="734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378DC">
        <w:rPr>
          <w:rFonts w:ascii="Times New Roman" w:hAnsi="Times New Roman" w:cs="Times New Roman"/>
          <w:sz w:val="24"/>
          <w:szCs w:val="24"/>
          <w:lang w:val="ru-RU"/>
        </w:rPr>
        <w:t xml:space="preserve">         (посада)                                           (м.п.)   (підпис)                     (ініціали та прізвище)</w:t>
      </w:r>
    </w:p>
    <w:sectPr w:rsidR="00D2288E" w:rsidRPr="00B3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62D7C"/>
    <w:multiLevelType w:val="hybridMultilevel"/>
    <w:tmpl w:val="FD4A891A"/>
    <w:lvl w:ilvl="0" w:tplc="ABD69D16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i/>
        <w:color w:val="202124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3FC2DDC"/>
    <w:multiLevelType w:val="hybridMultilevel"/>
    <w:tmpl w:val="8D9C1912"/>
    <w:lvl w:ilvl="0" w:tplc="6BB8D6A2"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4F15D38"/>
    <w:multiLevelType w:val="multilevel"/>
    <w:tmpl w:val="68DC5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6A395078"/>
    <w:multiLevelType w:val="hybridMultilevel"/>
    <w:tmpl w:val="47E4474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8E"/>
    <w:rsid w:val="001E3391"/>
    <w:rsid w:val="00396203"/>
    <w:rsid w:val="0054095A"/>
    <w:rsid w:val="00602414"/>
    <w:rsid w:val="00634981"/>
    <w:rsid w:val="006F162E"/>
    <w:rsid w:val="00887029"/>
    <w:rsid w:val="009E65A7"/>
    <w:rsid w:val="009F39C9"/>
    <w:rsid w:val="00B378DC"/>
    <w:rsid w:val="00BC4DBE"/>
    <w:rsid w:val="00D2288E"/>
    <w:rsid w:val="00E0102A"/>
    <w:rsid w:val="00FA40DE"/>
    <w:rsid w:val="00FB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AB6F"/>
  <w15:chartTrackingRefBased/>
  <w15:docId w15:val="{F8113CC8-9066-4557-9748-C3F2D143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288E"/>
    <w:rPr>
      <w:rFonts w:ascii="Calibri" w:eastAsia="Calibri" w:hAnsi="Calibri" w:cs="Calibri"/>
      <w:lang w:val="uk-UA"/>
    </w:rPr>
  </w:style>
  <w:style w:type="paragraph" w:styleId="2">
    <w:name w:val="heading 2"/>
    <w:basedOn w:val="a"/>
    <w:next w:val="a"/>
    <w:link w:val="20"/>
    <w:qFormat/>
    <w:rsid w:val="0054095A"/>
    <w:pPr>
      <w:keepNext/>
      <w:spacing w:before="240" w:after="12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"/>
    <w:basedOn w:val="a"/>
    <w:uiPriority w:val="34"/>
    <w:qFormat/>
    <w:rsid w:val="00D2288E"/>
    <w:pPr>
      <w:ind w:left="720"/>
      <w:contextualSpacing/>
    </w:pPr>
  </w:style>
  <w:style w:type="paragraph" w:styleId="a4">
    <w:name w:val="No Spacing"/>
    <w:uiPriority w:val="1"/>
    <w:qFormat/>
    <w:rsid w:val="00D2288E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character" w:customStyle="1" w:styleId="20">
    <w:name w:val="Заголовок 2 Знак"/>
    <w:basedOn w:val="a0"/>
    <w:link w:val="2"/>
    <w:rsid w:val="0054095A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customStyle="1" w:styleId="21">
    <w:name w:val="Основной текст (2)_"/>
    <w:link w:val="210"/>
    <w:uiPriority w:val="99"/>
    <w:locked/>
    <w:rsid w:val="0054095A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4095A"/>
    <w:pPr>
      <w:widowControl w:val="0"/>
      <w:shd w:val="clear" w:color="auto" w:fill="FFFFFF"/>
      <w:spacing w:after="0" w:line="240" w:lineRule="atLeast"/>
      <w:ind w:hanging="400"/>
    </w:pPr>
    <w:rPr>
      <w:rFonts w:asciiTheme="minorHAnsi" w:eastAsiaTheme="minorHAnsi" w:hAnsiTheme="minorHAnsi" w:cstheme="minorBidi"/>
      <w:shd w:val="clear" w:color="auto" w:fill="FFFFFF"/>
      <w:lang w:val="ru-RU"/>
    </w:rPr>
  </w:style>
  <w:style w:type="paragraph" w:customStyle="1" w:styleId="11">
    <w:name w:val="Обычный11"/>
    <w:link w:val="5"/>
    <w:rsid w:val="00602414"/>
    <w:pPr>
      <w:spacing w:after="200" w:line="276" w:lineRule="auto"/>
    </w:pPr>
    <w:rPr>
      <w:rFonts w:ascii="Arial" w:eastAsia="Lucida Sans Unicode" w:hAnsi="Arial" w:cs="Times New Roman"/>
      <w:sz w:val="24"/>
      <w:szCs w:val="24"/>
      <w:lang w:eastAsia="hi-IN" w:bidi="hi-IN"/>
    </w:rPr>
  </w:style>
  <w:style w:type="character" w:customStyle="1" w:styleId="5">
    <w:name w:val="Знак5 Знак Знак"/>
    <w:link w:val="11"/>
    <w:rsid w:val="00602414"/>
    <w:rPr>
      <w:rFonts w:ascii="Arial" w:eastAsia="Lucida Sans Unicode" w:hAnsi="Arial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16</cp:revision>
  <dcterms:created xsi:type="dcterms:W3CDTF">2022-10-25T13:34:00Z</dcterms:created>
  <dcterms:modified xsi:type="dcterms:W3CDTF">2022-11-14T08:26:00Z</dcterms:modified>
</cp:coreProperties>
</file>