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23DB3A8C"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E61AF1">
              <w:rPr>
                <w:bCs/>
                <w:sz w:val="22"/>
                <w:szCs w:val="22"/>
                <w:lang w:val="uk-UA" w:eastAsia="ar-SA"/>
              </w:rPr>
              <w:t>05</w:t>
            </w:r>
            <w:r w:rsidR="000B6BF5">
              <w:rPr>
                <w:bCs/>
                <w:sz w:val="22"/>
                <w:szCs w:val="22"/>
                <w:lang w:val="uk-UA" w:eastAsia="ar-SA"/>
              </w:rPr>
              <w:t>.01.2024</w:t>
            </w:r>
            <w:r w:rsidRPr="00823A8A">
              <w:rPr>
                <w:bCs/>
                <w:sz w:val="22"/>
                <w:szCs w:val="22"/>
                <w:lang w:val="uk-UA" w:eastAsia="ar-SA"/>
              </w:rPr>
              <w:t xml:space="preserve"> р. </w:t>
            </w:r>
            <w:r w:rsidR="00EC6284">
              <w:rPr>
                <w:bCs/>
                <w:sz w:val="22"/>
                <w:szCs w:val="22"/>
                <w:lang w:val="uk-UA" w:eastAsia="ar-SA"/>
              </w:rPr>
              <w:t>зі змінами затвердженими Протоколом від 05.02.2024 р.</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C76702E" w:rsidR="00250126" w:rsidRDefault="00EC6284" w:rsidP="00250126">
      <w:pPr>
        <w:spacing w:before="1"/>
        <w:ind w:left="464" w:right="354"/>
        <w:jc w:val="center"/>
        <w:rPr>
          <w:b/>
          <w:bCs/>
          <w:kern w:val="2"/>
          <w:sz w:val="28"/>
          <w:szCs w:val="22"/>
          <w:lang w:val="uk-UA" w:eastAsia="ar-SA"/>
        </w:rPr>
      </w:pPr>
      <w:r>
        <w:rPr>
          <w:b/>
          <w:bCs/>
          <w:kern w:val="2"/>
          <w:sz w:val="28"/>
          <w:szCs w:val="22"/>
          <w:lang w:val="uk-UA" w:eastAsia="ar-SA"/>
        </w:rPr>
        <w:t>(нова редакція)</w:t>
      </w:r>
    </w:p>
    <w:p w14:paraId="66BA7D89" w14:textId="1B6ECF1B" w:rsidR="00EC6284" w:rsidRDefault="00EC6284" w:rsidP="00250126">
      <w:pPr>
        <w:spacing w:before="1"/>
        <w:ind w:left="464" w:right="354"/>
        <w:jc w:val="center"/>
        <w:rPr>
          <w:b/>
          <w:bCs/>
          <w:kern w:val="2"/>
          <w:sz w:val="28"/>
          <w:szCs w:val="22"/>
          <w:lang w:val="uk-UA" w:eastAsia="ar-SA"/>
        </w:rPr>
      </w:pPr>
    </w:p>
    <w:p w14:paraId="050C0C97" w14:textId="77777777" w:rsidR="00EC6284" w:rsidRPr="00250126" w:rsidRDefault="00EC6284"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1564FBE0" w14:textId="77777777" w:rsidR="00C4685D" w:rsidRPr="00A1629B" w:rsidRDefault="00C4685D" w:rsidP="00C4685D">
      <w:pPr>
        <w:ind w:right="-2"/>
        <w:jc w:val="center"/>
        <w:rPr>
          <w:b/>
          <w:sz w:val="36"/>
          <w:lang w:val="uk-UA"/>
        </w:rPr>
      </w:pPr>
      <w:r w:rsidRPr="00A1629B">
        <w:rPr>
          <w:b/>
          <w:sz w:val="36"/>
          <w:lang w:val="uk-UA"/>
        </w:rPr>
        <w:t xml:space="preserve">ДК 021:2015: 03220000-9 Овочі, фрукти та горіхи </w:t>
      </w:r>
    </w:p>
    <w:p w14:paraId="5E1F6AEF" w14:textId="77777777" w:rsidR="00C4685D" w:rsidRPr="00A1629B" w:rsidRDefault="00C4685D" w:rsidP="00C4685D">
      <w:pPr>
        <w:ind w:right="-2"/>
        <w:jc w:val="center"/>
        <w:rPr>
          <w:rFonts w:eastAsia="Calibri"/>
          <w:sz w:val="32"/>
          <w:szCs w:val="32"/>
          <w:bdr w:val="none" w:sz="0" w:space="0" w:color="auto" w:frame="1"/>
          <w:lang w:val="uk-UA"/>
        </w:rPr>
      </w:pPr>
      <w:r w:rsidRPr="00A1629B">
        <w:rPr>
          <w:b/>
          <w:sz w:val="36"/>
          <w:lang w:val="uk-UA"/>
        </w:rPr>
        <w:t>(яблука, банани, апельсини)</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A082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A082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A082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21579D1C" w14:textId="77777777" w:rsidR="00C4685D" w:rsidRPr="00C4685D" w:rsidRDefault="00C4685D" w:rsidP="00C4685D">
            <w:pPr>
              <w:widowControl w:val="0"/>
              <w:autoSpaceDE w:val="0"/>
              <w:autoSpaceDN w:val="0"/>
              <w:adjustRightInd w:val="0"/>
              <w:ind w:firstLine="284"/>
              <w:jc w:val="both"/>
              <w:rPr>
                <w:b/>
                <w:bCs/>
                <w:i/>
                <w:sz w:val="22"/>
                <w:szCs w:val="22"/>
                <w:lang w:val="uk-UA"/>
              </w:rPr>
            </w:pPr>
            <w:r w:rsidRPr="00C4685D">
              <w:rPr>
                <w:b/>
                <w:bCs/>
                <w:i/>
                <w:sz w:val="22"/>
                <w:szCs w:val="22"/>
                <w:lang w:val="uk-UA"/>
              </w:rPr>
              <w:t xml:space="preserve">ДК 021:2015: 03220000-9 Овочі, фрукти та горіхи </w:t>
            </w:r>
          </w:p>
          <w:p w14:paraId="19DD5A4C" w14:textId="3932ED86" w:rsidR="007E6555" w:rsidRPr="00823A8A" w:rsidRDefault="00C4685D" w:rsidP="00C4685D">
            <w:pPr>
              <w:widowControl w:val="0"/>
              <w:autoSpaceDE w:val="0"/>
              <w:autoSpaceDN w:val="0"/>
              <w:adjustRightInd w:val="0"/>
              <w:ind w:firstLine="284"/>
              <w:jc w:val="both"/>
              <w:rPr>
                <w:b/>
                <w:bCs/>
                <w:i/>
                <w:sz w:val="22"/>
                <w:szCs w:val="22"/>
                <w:lang w:val="uk-UA"/>
              </w:rPr>
            </w:pPr>
            <w:r w:rsidRPr="00C4685D">
              <w:rPr>
                <w:b/>
                <w:bCs/>
                <w:i/>
                <w:sz w:val="22"/>
                <w:szCs w:val="22"/>
                <w:lang w:val="uk-UA"/>
              </w:rPr>
              <w:t>(яблука, банани, апельсини)</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638360E0"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C4685D">
              <w:rPr>
                <w:sz w:val="22"/>
                <w:szCs w:val="22"/>
                <w:lang w:val="uk-UA"/>
              </w:rPr>
              <w:t>яблука</w:t>
            </w:r>
            <w:r w:rsidR="000C72EB" w:rsidRPr="000C72EB">
              <w:rPr>
                <w:sz w:val="22"/>
                <w:szCs w:val="22"/>
                <w:lang w:val="uk-UA"/>
              </w:rPr>
              <w:t xml:space="preserve"> </w:t>
            </w:r>
            <w:r w:rsidR="00BA0823">
              <w:rPr>
                <w:sz w:val="22"/>
                <w:szCs w:val="22"/>
                <w:lang w:val="uk-UA"/>
              </w:rPr>
              <w:t xml:space="preserve">– </w:t>
            </w:r>
            <w:r w:rsidR="000C72EB">
              <w:rPr>
                <w:sz w:val="22"/>
                <w:szCs w:val="22"/>
                <w:lang w:val="uk-UA"/>
              </w:rPr>
              <w:t>80</w:t>
            </w:r>
            <w:r w:rsidR="00BA0823">
              <w:rPr>
                <w:sz w:val="22"/>
                <w:szCs w:val="22"/>
                <w:lang w:val="uk-UA"/>
              </w:rPr>
              <w:t> 000 кг</w:t>
            </w:r>
            <w:r w:rsidR="00BA0823" w:rsidRPr="00BA0823">
              <w:rPr>
                <w:sz w:val="22"/>
                <w:szCs w:val="22"/>
                <w:lang w:val="uk-UA"/>
              </w:rPr>
              <w:t xml:space="preserve">, </w:t>
            </w:r>
            <w:r w:rsidR="00C4685D">
              <w:rPr>
                <w:sz w:val="22"/>
                <w:szCs w:val="22"/>
                <w:lang w:val="uk-UA"/>
              </w:rPr>
              <w:t>банани</w:t>
            </w:r>
            <w:r w:rsidR="000C72EB" w:rsidRPr="000C72EB">
              <w:rPr>
                <w:sz w:val="22"/>
                <w:szCs w:val="22"/>
                <w:lang w:val="uk-UA"/>
              </w:rPr>
              <w:t xml:space="preserve"> </w:t>
            </w:r>
            <w:r w:rsidR="00BA0823">
              <w:rPr>
                <w:sz w:val="22"/>
                <w:szCs w:val="22"/>
                <w:lang w:val="uk-UA"/>
              </w:rPr>
              <w:t xml:space="preserve">– </w:t>
            </w:r>
            <w:r w:rsidR="0043645C">
              <w:rPr>
                <w:sz w:val="22"/>
                <w:szCs w:val="22"/>
                <w:lang w:val="uk-UA"/>
              </w:rPr>
              <w:t>3</w:t>
            </w:r>
            <w:r w:rsidR="00C4685D">
              <w:rPr>
                <w:sz w:val="22"/>
                <w:szCs w:val="22"/>
                <w:lang w:val="uk-UA"/>
              </w:rPr>
              <w:t>0</w:t>
            </w:r>
            <w:r w:rsidR="00BA0823">
              <w:rPr>
                <w:sz w:val="22"/>
                <w:szCs w:val="22"/>
                <w:lang w:val="uk-UA"/>
              </w:rPr>
              <w:t> 000 кг</w:t>
            </w:r>
            <w:r w:rsidR="00BA0823" w:rsidRPr="00BA0823">
              <w:rPr>
                <w:sz w:val="22"/>
                <w:szCs w:val="22"/>
                <w:lang w:val="uk-UA"/>
              </w:rPr>
              <w:t xml:space="preserve">, </w:t>
            </w:r>
            <w:r w:rsidR="00C4685D">
              <w:rPr>
                <w:sz w:val="22"/>
                <w:szCs w:val="22"/>
                <w:lang w:val="uk-UA"/>
              </w:rPr>
              <w:t>апельсини</w:t>
            </w:r>
            <w:r w:rsidR="00653483">
              <w:rPr>
                <w:sz w:val="22"/>
                <w:szCs w:val="22"/>
                <w:lang w:val="uk-UA"/>
              </w:rPr>
              <w:t xml:space="preserve"> </w:t>
            </w:r>
            <w:r w:rsidR="00BA0823">
              <w:rPr>
                <w:sz w:val="22"/>
                <w:szCs w:val="22"/>
                <w:lang w:val="uk-UA"/>
              </w:rPr>
              <w:t xml:space="preserve">– </w:t>
            </w:r>
            <w:r w:rsidR="0043645C">
              <w:rPr>
                <w:sz w:val="22"/>
                <w:szCs w:val="22"/>
                <w:lang w:val="uk-UA"/>
              </w:rPr>
              <w:t>3</w:t>
            </w:r>
            <w:r w:rsidR="00C4685D">
              <w:rPr>
                <w:sz w:val="22"/>
                <w:szCs w:val="22"/>
                <w:lang w:val="uk-UA"/>
              </w:rPr>
              <w:t>0</w:t>
            </w:r>
            <w:r w:rsidR="00BA0823">
              <w:rPr>
                <w:sz w:val="22"/>
                <w:szCs w:val="22"/>
                <w:lang w:val="uk-UA"/>
              </w:rPr>
              <w:t> 000 кг</w:t>
            </w:r>
            <w:r w:rsidR="00C4685D">
              <w:rPr>
                <w:sz w:val="22"/>
                <w:szCs w:val="22"/>
                <w:lang w:val="uk-UA"/>
              </w:rPr>
              <w:t>.</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A082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C85FF6" w:rsidRDefault="007E6555" w:rsidP="007E6555">
            <w:pPr>
              <w:ind w:firstLine="284"/>
              <w:jc w:val="both"/>
              <w:rPr>
                <w:sz w:val="22"/>
                <w:szCs w:val="22"/>
                <w:lang w:val="uk-UA"/>
              </w:rPr>
            </w:pPr>
            <w:r w:rsidRPr="00C85FF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C85FF6" w:rsidRDefault="007E6555" w:rsidP="007E6555">
            <w:pPr>
              <w:ind w:firstLine="284"/>
              <w:jc w:val="both"/>
              <w:rPr>
                <w:sz w:val="22"/>
                <w:szCs w:val="22"/>
                <w:lang w:val="uk-UA"/>
              </w:rPr>
            </w:pPr>
            <w:r w:rsidRPr="00C85FF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C85FF6" w:rsidRDefault="007E6555" w:rsidP="007E6555">
            <w:pPr>
              <w:ind w:firstLine="284"/>
              <w:jc w:val="both"/>
              <w:rPr>
                <w:sz w:val="22"/>
                <w:szCs w:val="22"/>
                <w:lang w:val="uk-UA"/>
              </w:rPr>
            </w:pPr>
            <w:r w:rsidRPr="00C85FF6">
              <w:rPr>
                <w:sz w:val="22"/>
                <w:szCs w:val="22"/>
                <w:lang w:val="uk-UA"/>
              </w:rPr>
              <w:t xml:space="preserve">Відповідно до </w:t>
            </w:r>
            <w:r w:rsidRPr="00C85FF6">
              <w:rPr>
                <w:sz w:val="22"/>
                <w:szCs w:val="22"/>
                <w:lang w:val="uk-UA" w:eastAsia="uk-UA"/>
              </w:rPr>
              <w:t xml:space="preserve">ч. 1 ст. </w:t>
            </w:r>
            <w:r w:rsidRPr="00C85FF6">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C85FF6">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C85FF6" w:rsidRDefault="007E6555" w:rsidP="007E6555">
            <w:pPr>
              <w:ind w:firstLine="284"/>
              <w:jc w:val="both"/>
              <w:rPr>
                <w:sz w:val="22"/>
                <w:szCs w:val="22"/>
                <w:lang w:val="uk-UA"/>
              </w:rPr>
            </w:pPr>
            <w:r w:rsidRPr="00C85FF6">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C85FF6">
              <w:rPr>
                <w:sz w:val="22"/>
                <w:szCs w:val="22"/>
                <w:lang w:val="uk-UA"/>
              </w:rPr>
              <w:t>(</w:t>
            </w:r>
            <w:proofErr w:type="spellStart"/>
            <w:r w:rsidRPr="00C85FF6">
              <w:rPr>
                <w:sz w:val="22"/>
                <w:szCs w:val="22"/>
                <w:lang w:val="uk-UA"/>
              </w:rPr>
              <w:t>cанкцій</w:t>
            </w:r>
            <w:proofErr w:type="spellEnd"/>
            <w:r w:rsidRPr="00C85FF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C85FF6" w:rsidRDefault="007E6555" w:rsidP="007E6555">
            <w:pPr>
              <w:ind w:firstLine="284"/>
              <w:jc w:val="both"/>
              <w:rPr>
                <w:sz w:val="22"/>
                <w:szCs w:val="22"/>
                <w:lang w:val="uk-UA"/>
              </w:rPr>
            </w:pPr>
            <w:r w:rsidRPr="00C85FF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C85FF6" w:rsidRDefault="007E6555" w:rsidP="007E6555">
            <w:pPr>
              <w:ind w:firstLine="284"/>
              <w:jc w:val="both"/>
              <w:rPr>
                <w:sz w:val="22"/>
                <w:szCs w:val="22"/>
                <w:lang w:val="uk-UA"/>
              </w:rPr>
            </w:pPr>
            <w:r w:rsidRPr="00C85FF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C85FF6" w:rsidRDefault="009515D2" w:rsidP="009515D2">
            <w:pPr>
              <w:ind w:firstLine="284"/>
              <w:jc w:val="both"/>
              <w:rPr>
                <w:sz w:val="22"/>
                <w:szCs w:val="22"/>
                <w:lang w:val="uk-UA"/>
              </w:rPr>
            </w:pPr>
            <w:r w:rsidRPr="00C85FF6">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C85FF6" w:rsidRDefault="009515D2" w:rsidP="009515D2">
            <w:pPr>
              <w:ind w:firstLine="284"/>
              <w:jc w:val="both"/>
              <w:rPr>
                <w:sz w:val="22"/>
                <w:szCs w:val="22"/>
                <w:lang w:val="uk-UA"/>
              </w:rPr>
            </w:pPr>
            <w:r w:rsidRPr="00C85FF6">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C85FF6" w:rsidRDefault="009515D2" w:rsidP="009515D2">
            <w:pPr>
              <w:ind w:firstLine="284"/>
              <w:jc w:val="both"/>
              <w:rPr>
                <w:sz w:val="22"/>
                <w:szCs w:val="22"/>
                <w:lang w:val="uk-UA"/>
              </w:rPr>
            </w:pPr>
            <w:r w:rsidRPr="00C85FF6">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C85FF6" w:rsidRDefault="009515D2" w:rsidP="009515D2">
            <w:pPr>
              <w:ind w:firstLine="284"/>
              <w:jc w:val="both"/>
              <w:rPr>
                <w:sz w:val="22"/>
                <w:szCs w:val="22"/>
                <w:lang w:val="uk-UA"/>
              </w:rPr>
            </w:pPr>
            <w:r w:rsidRPr="00C85FF6">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w:t>
            </w:r>
            <w:r w:rsidRPr="00C85FF6">
              <w:rPr>
                <w:sz w:val="22"/>
                <w:szCs w:val="22"/>
                <w:lang w:val="uk-UA"/>
              </w:rPr>
              <w:lastRenderedPageBreak/>
              <w:t xml:space="preserve">осіб, утворених та зареєстрованих відповідно до законодавства України, кінцевим </w:t>
            </w:r>
            <w:proofErr w:type="spellStart"/>
            <w:r w:rsidRPr="00C85FF6">
              <w:rPr>
                <w:sz w:val="22"/>
                <w:szCs w:val="22"/>
                <w:lang w:val="uk-UA"/>
              </w:rPr>
              <w:t>бенефіціарним</w:t>
            </w:r>
            <w:proofErr w:type="spellEnd"/>
            <w:r w:rsidRPr="00C85FF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C85FF6" w:rsidRDefault="009515D2" w:rsidP="009515D2">
            <w:pPr>
              <w:ind w:firstLine="284"/>
              <w:jc w:val="both"/>
              <w:rPr>
                <w:sz w:val="22"/>
                <w:szCs w:val="22"/>
                <w:lang w:val="uk-UA"/>
              </w:rPr>
            </w:pPr>
            <w:r w:rsidRPr="00C85FF6">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5FF6">
              <w:rPr>
                <w:sz w:val="22"/>
                <w:szCs w:val="22"/>
                <w:lang w:val="uk-UA"/>
              </w:rPr>
              <w:t>бенефіціарним</w:t>
            </w:r>
            <w:proofErr w:type="spellEnd"/>
            <w:r w:rsidRPr="00C85FF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C85FF6" w:rsidRDefault="009515D2" w:rsidP="009515D2">
            <w:pPr>
              <w:ind w:firstLine="284"/>
              <w:jc w:val="both"/>
              <w:rPr>
                <w:sz w:val="22"/>
                <w:szCs w:val="22"/>
                <w:lang w:val="uk-UA"/>
              </w:rPr>
            </w:pPr>
            <w:r w:rsidRPr="00C85FF6">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C85FF6">
              <w:rPr>
                <w:sz w:val="22"/>
                <w:szCs w:val="22"/>
                <w:lang w:val="uk-UA"/>
              </w:rPr>
              <w:t>бенефіціарним</w:t>
            </w:r>
            <w:proofErr w:type="spellEnd"/>
            <w:r w:rsidRPr="00C85FF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C85FF6" w:rsidRDefault="007E6555" w:rsidP="007E6555">
            <w:pPr>
              <w:ind w:firstLine="284"/>
              <w:jc w:val="both"/>
              <w:rPr>
                <w:sz w:val="22"/>
                <w:szCs w:val="22"/>
                <w:lang w:val="uk-UA"/>
              </w:rPr>
            </w:pPr>
            <w:r w:rsidRPr="00C85FF6">
              <w:rPr>
                <w:sz w:val="22"/>
                <w:szCs w:val="22"/>
                <w:lang w:val="uk-UA"/>
              </w:rPr>
              <w:t>Валютою тендерної пропозиції є національна валюта України - гривня.</w:t>
            </w:r>
          </w:p>
          <w:p w14:paraId="6C247158" w14:textId="77777777" w:rsidR="007E6555" w:rsidRPr="00C85FF6" w:rsidRDefault="007E6555" w:rsidP="007E6555">
            <w:pPr>
              <w:ind w:firstLine="284"/>
              <w:jc w:val="both"/>
              <w:rPr>
                <w:sz w:val="22"/>
                <w:szCs w:val="22"/>
                <w:lang w:val="uk-UA"/>
              </w:rPr>
            </w:pPr>
            <w:r w:rsidRPr="00C85FF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C85FF6" w:rsidRDefault="007E6555" w:rsidP="007E6555">
            <w:pPr>
              <w:ind w:firstLine="284"/>
              <w:jc w:val="both"/>
              <w:rPr>
                <w:sz w:val="22"/>
                <w:szCs w:val="22"/>
                <w:lang w:val="uk-UA"/>
              </w:rPr>
            </w:pPr>
            <w:r w:rsidRPr="00C85FF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C85FF6">
              <w:rPr>
                <w:sz w:val="22"/>
                <w:szCs w:val="22"/>
                <w:lang w:val="uk-UA"/>
              </w:rPr>
              <w:t>, а переклад повинен бути посвідчений нотаріально</w:t>
            </w:r>
            <w:r w:rsidRPr="00C85FF6">
              <w:rPr>
                <w:sz w:val="22"/>
                <w:szCs w:val="22"/>
                <w:lang w:val="uk-UA"/>
              </w:rPr>
              <w:t>. У випадку викладення документу на російській мові переклад повинен бути посвідчений нотаріально</w:t>
            </w:r>
            <w:r w:rsidR="00EE31F2" w:rsidRPr="00C85FF6">
              <w:rPr>
                <w:sz w:val="22"/>
                <w:szCs w:val="22"/>
                <w:lang w:val="uk-UA"/>
              </w:rPr>
              <w:t>, або підписаний перекладачем,</w:t>
            </w:r>
            <w:r w:rsidRPr="00C85FF6">
              <w:rPr>
                <w:sz w:val="22"/>
                <w:szCs w:val="22"/>
                <w:lang w:val="uk-UA"/>
              </w:rPr>
              <w:t xml:space="preserve"> або учасником торгів (на розсуд учасника). </w:t>
            </w:r>
          </w:p>
          <w:p w14:paraId="6EC7722D" w14:textId="77777777" w:rsidR="007E6555" w:rsidRPr="00C85FF6" w:rsidRDefault="007E6555" w:rsidP="007E6555">
            <w:pPr>
              <w:ind w:firstLine="284"/>
              <w:jc w:val="both"/>
              <w:rPr>
                <w:sz w:val="22"/>
                <w:szCs w:val="22"/>
                <w:lang w:val="uk-UA"/>
              </w:rPr>
            </w:pPr>
            <w:r w:rsidRPr="00C85FF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C85FF6" w:rsidRDefault="007E6555" w:rsidP="007E6555">
            <w:pPr>
              <w:ind w:firstLine="284"/>
              <w:jc w:val="both"/>
              <w:rPr>
                <w:sz w:val="22"/>
                <w:szCs w:val="22"/>
                <w:lang w:val="uk-UA"/>
              </w:rPr>
            </w:pPr>
            <w:r w:rsidRPr="00C85FF6">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C85FF6">
              <w:rPr>
                <w:sz w:val="22"/>
                <w:szCs w:val="22"/>
                <w:lang w:val="uk-UA"/>
              </w:rPr>
              <w:t xml:space="preserve">Документи у складі тендерної пропозиції учасника-нерезидента  повинні </w:t>
            </w:r>
            <w:r w:rsidRPr="00823A8A">
              <w:rPr>
                <w:sz w:val="22"/>
                <w:szCs w:val="22"/>
                <w:lang w:val="uk-UA"/>
              </w:rPr>
              <w:t xml:space="preserve">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A082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823A8A">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w:t>
            </w:r>
            <w:r w:rsidRPr="00823A8A">
              <w:rPr>
                <w:bCs/>
                <w:sz w:val="22"/>
                <w:szCs w:val="22"/>
                <w:lang w:val="uk-UA" w:eastAsia="ar-SA"/>
              </w:rPr>
              <w:t>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823A8A">
              <w:rPr>
                <w:bCs/>
                <w:sz w:val="22"/>
                <w:szCs w:val="22"/>
                <w:lang w:val="uk-UA" w:eastAsia="ar-S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w:t>
            </w:r>
            <w:r w:rsidRPr="00823A8A">
              <w:rPr>
                <w:bCs/>
                <w:sz w:val="22"/>
                <w:szCs w:val="22"/>
                <w:lang w:val="uk-UA" w:eastAsia="ar-SA"/>
              </w:rPr>
              <w:t xml:space="preserve">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823A8A">
              <w:rPr>
                <w:bCs/>
                <w:sz w:val="22"/>
                <w:szCs w:val="22"/>
                <w:lang w:val="uk-UA" w:eastAsia="ar-S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C85FF6">
              <w:rPr>
                <w:bCs/>
                <w:sz w:val="22"/>
                <w:szCs w:val="22"/>
                <w:lang w:val="uk-UA" w:eastAsia="ar-SA"/>
              </w:rPr>
              <w:t>Київаудит</w:t>
            </w:r>
            <w:proofErr w:type="spellEnd"/>
            <w:r w:rsidRPr="00C85FF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C85FF6">
              <w:rPr>
                <w:bCs/>
                <w:sz w:val="22"/>
                <w:szCs w:val="22"/>
                <w:lang w:val="uk-UA" w:eastAsia="ar-SA"/>
              </w:rPr>
              <w:t xml:space="preserve"> чи з</w:t>
            </w:r>
            <w:r w:rsidRPr="00C85FF6">
              <w:rPr>
                <w:bCs/>
                <w:sz w:val="22"/>
                <w:szCs w:val="22"/>
                <w:lang w:val="uk-UA" w:eastAsia="ar-SA"/>
              </w:rPr>
              <w:t xml:space="preserve"> </w:t>
            </w:r>
            <w:r w:rsidR="00690477" w:rsidRPr="00C85FF6">
              <w:rPr>
                <w:bCs/>
                <w:sz w:val="22"/>
                <w:szCs w:val="22"/>
                <w:lang w:val="uk-UA" w:eastAsia="ar-SA"/>
              </w:rPr>
              <w:t xml:space="preserve">недобросовісним постачальником товарів, </w:t>
            </w:r>
            <w:r w:rsidRPr="00C85FF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1.11. Іншою інформацією </w:t>
            </w:r>
            <w:r w:rsidRPr="00823A8A">
              <w:rPr>
                <w:bCs/>
                <w:sz w:val="22"/>
                <w:szCs w:val="22"/>
                <w:lang w:val="uk-UA" w:eastAsia="ar-SA"/>
              </w:rPr>
              <w:t>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w:t>
            </w:r>
            <w:r w:rsidRPr="00823A8A">
              <w:rPr>
                <w:bCs/>
                <w:sz w:val="22"/>
                <w:szCs w:val="22"/>
                <w:lang w:val="uk-UA" w:eastAsia="ar-SA"/>
              </w:rPr>
              <w:lastRenderedPageBreak/>
              <w:t xml:space="preserve">ідентифікована. Таким чином персональними даними є відомості про фізичну особу, що дають можливість її ідентифікувати, а саме паспортні </w:t>
            </w:r>
            <w:r w:rsidRPr="00C85FF6">
              <w:rPr>
                <w:bCs/>
                <w:sz w:val="22"/>
                <w:szCs w:val="22"/>
                <w:lang w:val="uk-UA" w:eastAsia="ar-SA"/>
              </w:rPr>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Документи</w:t>
            </w:r>
            <w:r w:rsidRPr="00823A8A">
              <w:rPr>
                <w:bCs/>
                <w:sz w:val="22"/>
                <w:szCs w:val="22"/>
                <w:lang w:val="uk-UA" w:eastAsia="ar-SA"/>
              </w:rPr>
              <w:t>,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xml:space="preserve">), мають частково сканований документ, накладений </w:t>
            </w:r>
            <w:r w:rsidRPr="00823A8A">
              <w:rPr>
                <w:bCs/>
                <w:sz w:val="22"/>
                <w:szCs w:val="22"/>
                <w:lang w:val="uk-UA" w:eastAsia="ar-SA"/>
              </w:rPr>
              <w:lastRenderedPageBreak/>
              <w:t>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2E1B11"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bookmarkStart w:id="2" w:name="_Hlk158029267"/>
            <w:r w:rsidRPr="00C85FF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EC6284">
              <w:rPr>
                <w:bCs/>
                <w:sz w:val="22"/>
                <w:szCs w:val="22"/>
                <w:lang w:val="uk-UA" w:eastAsia="ar-SA"/>
              </w:rPr>
              <w:t xml:space="preserve"> (для юридичних осіб)</w:t>
            </w:r>
            <w:r w:rsidRPr="00C85FF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C85FF6">
              <w:rPr>
                <w:bCs/>
                <w:sz w:val="22"/>
                <w:szCs w:val="22"/>
                <w:lang w:val="uk-UA" w:eastAsia="ar-SA"/>
              </w:rPr>
              <w:t>незахищенним</w:t>
            </w:r>
            <w:proofErr w:type="spellEnd"/>
            <w:r w:rsidRPr="00C85FF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bookmarkEnd w:id="2"/>
          <w:p w14:paraId="494EEE59"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Відповідно до </w:t>
            </w:r>
            <w:r w:rsidRPr="00823A8A">
              <w:rPr>
                <w:bCs/>
                <w:sz w:val="22"/>
                <w:szCs w:val="22"/>
                <w:lang w:val="uk-UA" w:eastAsia="ar-SA"/>
              </w:rPr>
              <w:t>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w:t>
            </w:r>
            <w:r w:rsidRPr="00823A8A">
              <w:rPr>
                <w:bCs/>
                <w:sz w:val="22"/>
                <w:szCs w:val="22"/>
                <w:lang w:val="uk-UA" w:eastAsia="ar-SA"/>
              </w:rPr>
              <w:lastRenderedPageBreak/>
              <w:t xml:space="preserve">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A082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A082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 xml:space="preserve">Кваліфікаційні критерії відповідно до статті 16 </w:t>
            </w:r>
            <w:r w:rsidRPr="00823A8A">
              <w:rPr>
                <w:b/>
                <w:bCs/>
                <w:sz w:val="22"/>
                <w:szCs w:val="22"/>
                <w:lang w:val="uk-UA"/>
              </w:rPr>
              <w:lastRenderedPageBreak/>
              <w:t>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lastRenderedPageBreak/>
              <w:t xml:space="preserve">Замовник вимагає від учасників подання ними документально підтвердженої інформації про їх відповідність кваліфікаційним </w:t>
            </w:r>
            <w:r w:rsidRPr="00823A8A">
              <w:rPr>
                <w:sz w:val="22"/>
                <w:szCs w:val="22"/>
                <w:lang w:val="uk-UA"/>
              </w:rPr>
              <w:lastRenderedPageBreak/>
              <w:t>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823A8A" w:rsidRDefault="009A1095" w:rsidP="009A1095">
            <w:pPr>
              <w:ind w:firstLine="284"/>
              <w:jc w:val="both"/>
              <w:rPr>
                <w:sz w:val="22"/>
                <w:szCs w:val="22"/>
                <w:lang w:val="uk-UA"/>
              </w:rPr>
            </w:pPr>
            <w:bookmarkStart w:id="3" w:name="_GoBack"/>
            <w:bookmarkEnd w:id="3"/>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w:t>
            </w:r>
            <w:r w:rsidRPr="00823A8A">
              <w:rPr>
                <w:sz w:val="22"/>
                <w:szCs w:val="22"/>
                <w:lang w:val="uk-UA"/>
              </w:rPr>
              <w:lastRenderedPageBreak/>
              <w:t>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w:t>
            </w:r>
            <w:r w:rsidRPr="00823A8A">
              <w:rPr>
                <w:sz w:val="22"/>
                <w:szCs w:val="22"/>
                <w:lang w:val="uk-UA"/>
              </w:rPr>
              <w:lastRenderedPageBreak/>
              <w:t xml:space="preserve">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A082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A082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A082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5243AAF" w:rsidR="007E6555" w:rsidRPr="00823A8A" w:rsidRDefault="007E6555" w:rsidP="007E6555">
            <w:pPr>
              <w:ind w:firstLine="284"/>
              <w:jc w:val="both"/>
              <w:rPr>
                <w:sz w:val="22"/>
                <w:szCs w:val="22"/>
                <w:lang w:val="uk-UA"/>
              </w:rPr>
            </w:pPr>
            <w:bookmarkStart w:id="4" w:name="_Hlk158029380"/>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w:t>
            </w:r>
            <w:r w:rsidR="00A93439" w:rsidRPr="0056380E">
              <w:rPr>
                <w:b/>
                <w:i/>
                <w:sz w:val="22"/>
                <w:szCs w:val="22"/>
                <w:lang w:val="uk-UA"/>
              </w:rPr>
              <w:t>00</w:t>
            </w:r>
            <w:r w:rsidR="00443882" w:rsidRPr="0056380E">
              <w:rPr>
                <w:b/>
                <w:i/>
                <w:sz w:val="22"/>
                <w:szCs w:val="22"/>
                <w:lang w:val="uk-UA"/>
              </w:rPr>
              <w:t xml:space="preserve"> </w:t>
            </w:r>
            <w:r w:rsidR="0056380E" w:rsidRPr="0056380E">
              <w:rPr>
                <w:b/>
                <w:i/>
                <w:sz w:val="22"/>
                <w:szCs w:val="22"/>
                <w:lang w:val="uk-UA"/>
              </w:rPr>
              <w:t>10</w:t>
            </w:r>
            <w:r w:rsidR="00250126" w:rsidRPr="0056380E">
              <w:rPr>
                <w:b/>
                <w:i/>
                <w:sz w:val="22"/>
                <w:szCs w:val="22"/>
                <w:lang w:val="uk-UA"/>
              </w:rPr>
              <w:t>.0</w:t>
            </w:r>
            <w:r w:rsidR="0056380E" w:rsidRPr="0056380E">
              <w:rPr>
                <w:b/>
                <w:i/>
                <w:sz w:val="22"/>
                <w:szCs w:val="22"/>
                <w:lang w:val="uk-UA"/>
              </w:rPr>
              <w:t>2</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bookmarkEnd w:id="4"/>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5" w:name="n482"/>
            <w:bookmarkEnd w:id="5"/>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A082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23A8A">
              <w:rPr>
                <w:sz w:val="22"/>
                <w:szCs w:val="22"/>
                <w:lang w:val="uk-UA"/>
              </w:rPr>
              <w:lastRenderedPageBreak/>
              <w:t>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6"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6"/>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7"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823A8A">
              <w:rPr>
                <w:sz w:val="22"/>
                <w:szCs w:val="22"/>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7"/>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11D2F853" w:rsidR="009A1095" w:rsidRPr="00823A8A" w:rsidRDefault="000B6BF5" w:rsidP="001323A2">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r>
              <w:rPr>
                <w:sz w:val="22"/>
                <w:szCs w:val="22"/>
                <w:lang w:val="uk-UA" w:eastAsia="ar-SA"/>
              </w:rPr>
              <w:t>:</w:t>
            </w:r>
            <w:r w:rsidR="00CB160E" w:rsidRPr="00823A8A">
              <w:rPr>
                <w:sz w:val="22"/>
                <w:szCs w:val="22"/>
                <w:lang w:val="uk-UA"/>
              </w:rPr>
              <w:t xml:space="preserve"> </w:t>
            </w:r>
            <w:r w:rsidR="00CB160E">
              <w:rPr>
                <w:sz w:val="22"/>
                <w:szCs w:val="22"/>
                <w:lang w:val="uk-UA"/>
              </w:rPr>
              <w:t>яблука</w:t>
            </w:r>
            <w:r w:rsidR="00CB160E" w:rsidRPr="000C72EB">
              <w:rPr>
                <w:sz w:val="22"/>
                <w:szCs w:val="22"/>
                <w:lang w:val="uk-UA"/>
              </w:rPr>
              <w:t xml:space="preserve"> </w:t>
            </w:r>
            <w:r w:rsidR="00CB160E">
              <w:rPr>
                <w:sz w:val="22"/>
                <w:szCs w:val="22"/>
                <w:lang w:val="uk-UA"/>
              </w:rPr>
              <w:t>– 24,50 грн.</w:t>
            </w:r>
            <w:r w:rsidR="00CB160E" w:rsidRPr="00BA0823">
              <w:rPr>
                <w:sz w:val="22"/>
                <w:szCs w:val="22"/>
                <w:lang w:val="uk-UA"/>
              </w:rPr>
              <w:t xml:space="preserve">, </w:t>
            </w:r>
            <w:r w:rsidR="00CB160E">
              <w:rPr>
                <w:sz w:val="22"/>
                <w:szCs w:val="22"/>
                <w:lang w:val="uk-UA"/>
              </w:rPr>
              <w:t>банани</w:t>
            </w:r>
            <w:r w:rsidR="00CB160E" w:rsidRPr="000C72EB">
              <w:rPr>
                <w:sz w:val="22"/>
                <w:szCs w:val="22"/>
                <w:lang w:val="uk-UA"/>
              </w:rPr>
              <w:t xml:space="preserve"> </w:t>
            </w:r>
            <w:r w:rsidR="00CB160E">
              <w:rPr>
                <w:sz w:val="22"/>
                <w:szCs w:val="22"/>
                <w:lang w:val="uk-UA"/>
              </w:rPr>
              <w:t>– 62,54 грн.</w:t>
            </w:r>
            <w:r w:rsidR="00CB160E" w:rsidRPr="00BA0823">
              <w:rPr>
                <w:sz w:val="22"/>
                <w:szCs w:val="22"/>
                <w:lang w:val="uk-UA"/>
              </w:rPr>
              <w:t xml:space="preserve">, </w:t>
            </w:r>
            <w:r w:rsidR="00CB160E">
              <w:rPr>
                <w:sz w:val="22"/>
                <w:szCs w:val="22"/>
                <w:lang w:val="uk-UA"/>
              </w:rPr>
              <w:t>апельсини – 62,02 грн..</w:t>
            </w:r>
          </w:p>
        </w:tc>
      </w:tr>
      <w:tr w:rsidR="00080188" w:rsidRPr="00BA082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823A8A">
              <w:rPr>
                <w:sz w:val="22"/>
                <w:szCs w:val="22"/>
                <w:lang w:val="uk-UA"/>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823A8A">
              <w:rPr>
                <w:sz w:val="22"/>
                <w:szCs w:val="22"/>
                <w:lang w:val="uk-UA"/>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8" w:name="n591"/>
            <w:bookmarkEnd w:id="8"/>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823A8A">
              <w:rPr>
                <w:sz w:val="22"/>
                <w:szCs w:val="22"/>
                <w:lang w:val="uk-UA"/>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lastRenderedPageBreak/>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1C62E4" w:rsidRPr="00823A8A"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Default="001C62E4"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23A8A"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23A8A"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23A8A"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23A8A"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23A8A" w:rsidRDefault="001C62E4"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9"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відсутності таких </w:t>
            </w:r>
            <w:r w:rsidRPr="00823A8A">
              <w:rPr>
                <w:sz w:val="20"/>
                <w:szCs w:val="20"/>
                <w:lang w:val="uk-UA"/>
              </w:rPr>
              <w:lastRenderedPageBreak/>
              <w:t>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A082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неможливості отримання вказаної довідки і</w:t>
            </w:r>
            <w:r w:rsidRPr="00186C27">
              <w:rPr>
                <w:b/>
                <w:bCs/>
                <w:i/>
                <w:iCs/>
                <w:sz w:val="20"/>
                <w:szCs w:val="20"/>
                <w:lang w:val="uk-UA"/>
              </w:rPr>
              <w:t xml:space="preserve"> витягу з технічних </w:t>
            </w:r>
            <w:r w:rsidRPr="00186C27">
              <w:rPr>
                <w:b/>
                <w:bCs/>
                <w:i/>
                <w:iCs/>
                <w:sz w:val="20"/>
                <w:szCs w:val="20"/>
                <w:lang w:val="uk-UA"/>
              </w:rPr>
              <w:lastRenderedPageBreak/>
              <w:t xml:space="preserve">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823A8A">
              <w:rPr>
                <w:iCs/>
                <w:spacing w:val="-6"/>
                <w:sz w:val="20"/>
                <w:szCs w:val="20"/>
                <w:lang w:val="uk-UA"/>
              </w:rPr>
              <w:lastRenderedPageBreak/>
              <w:t xml:space="preserve">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керівника учасника процедури закупівлі, фізичну особу, яка є </w:t>
            </w:r>
            <w:r w:rsidRPr="00823A8A">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w:t>
            </w:r>
            <w:r w:rsidRPr="00823A8A">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9"/>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tbl>
      <w:tblPr>
        <w:tblStyle w:val="aff7"/>
        <w:tblW w:w="10635" w:type="dxa"/>
        <w:tblInd w:w="-147" w:type="dxa"/>
        <w:tblLayout w:type="fixed"/>
        <w:tblLook w:val="04A0" w:firstRow="1" w:lastRow="0" w:firstColumn="1" w:lastColumn="0" w:noHBand="0" w:noVBand="1"/>
      </w:tblPr>
      <w:tblGrid>
        <w:gridCol w:w="426"/>
        <w:gridCol w:w="1247"/>
        <w:gridCol w:w="1276"/>
        <w:gridCol w:w="7686"/>
      </w:tblGrid>
      <w:tr w:rsidR="00080188" w:rsidRPr="00823A8A" w14:paraId="3CF90639" w14:textId="77777777" w:rsidTr="00C85FF6">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247"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68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CB160E" w:rsidRPr="00BA0823" w14:paraId="02DCF2F5" w14:textId="77777777" w:rsidTr="00C85FF6">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CB160E" w:rsidRPr="00823A8A" w:rsidRDefault="00CB160E" w:rsidP="00CB160E">
            <w:pPr>
              <w:jc w:val="center"/>
              <w:rPr>
                <w:sz w:val="22"/>
                <w:szCs w:val="22"/>
                <w:lang w:val="uk-UA"/>
              </w:rPr>
            </w:pPr>
            <w:r w:rsidRPr="00823A8A">
              <w:rPr>
                <w:sz w:val="22"/>
                <w:szCs w:val="22"/>
                <w:lang w:val="uk-UA"/>
              </w:rPr>
              <w:t>1</w:t>
            </w:r>
          </w:p>
        </w:tc>
        <w:tc>
          <w:tcPr>
            <w:tcW w:w="1247" w:type="dxa"/>
          </w:tcPr>
          <w:p w14:paraId="42B3E36D" w14:textId="5F38AD0E" w:rsidR="00CB160E" w:rsidRPr="00653483" w:rsidRDefault="00CB160E" w:rsidP="00CB160E">
            <w:pPr>
              <w:rPr>
                <w:b/>
                <w:lang w:val="uk-UA"/>
              </w:rPr>
            </w:pPr>
            <w:r w:rsidRPr="00750FAC">
              <w:rPr>
                <w:b/>
                <w:lang w:val="uk-UA"/>
              </w:rPr>
              <w:t>Яблука</w:t>
            </w:r>
          </w:p>
        </w:tc>
        <w:tc>
          <w:tcPr>
            <w:tcW w:w="1276" w:type="dxa"/>
          </w:tcPr>
          <w:p w14:paraId="0A28A7B7" w14:textId="585DF6C4" w:rsidR="00CB160E" w:rsidRPr="00823A8A" w:rsidRDefault="00CB160E" w:rsidP="00CB160E">
            <w:pPr>
              <w:jc w:val="center"/>
              <w:rPr>
                <w:sz w:val="22"/>
                <w:szCs w:val="22"/>
                <w:lang w:val="uk-UA"/>
              </w:rPr>
            </w:pPr>
            <w:r>
              <w:rPr>
                <w:lang w:val="uk-UA"/>
              </w:rPr>
              <w:t>80</w:t>
            </w:r>
            <w:r w:rsidRPr="00750FAC">
              <w:rPr>
                <w:lang w:val="uk-UA"/>
              </w:rPr>
              <w:t> 000,00 кг.</w:t>
            </w:r>
          </w:p>
        </w:tc>
        <w:tc>
          <w:tcPr>
            <w:tcW w:w="7686" w:type="dxa"/>
          </w:tcPr>
          <w:p w14:paraId="54B6C629" w14:textId="65FF9EC6" w:rsidR="00CB160E" w:rsidRPr="00823A8A" w:rsidRDefault="007E4411" w:rsidP="00CB160E">
            <w:pPr>
              <w:jc w:val="both"/>
              <w:rPr>
                <w:bCs/>
                <w:sz w:val="22"/>
                <w:shd w:val="clear" w:color="auto" w:fill="FFFFFF"/>
                <w:lang w:val="uk-UA"/>
              </w:rPr>
            </w:pPr>
            <w:r w:rsidRPr="007E4411">
              <w:rPr>
                <w:rFonts w:eastAsia="Courier New"/>
                <w:bCs/>
                <w:color w:val="000000"/>
                <w:lang w:val="uk-UA" w:eastAsia="ar-SA"/>
              </w:rPr>
              <w:t>Плоди</w:t>
            </w:r>
            <w:r w:rsidR="00CB160E" w:rsidRPr="00750FAC">
              <w:rPr>
                <w:rFonts w:eastAsia="Courier New"/>
                <w:bCs/>
                <w:color w:val="000000"/>
                <w:lang w:val="uk-UA" w:eastAsia="ar-SA"/>
              </w:rPr>
              <w:t xml:space="preserve">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w:t>
            </w:r>
            <w:r w:rsidR="00CB160E">
              <w:rPr>
                <w:rFonts w:eastAsia="Courier New"/>
                <w:bCs/>
                <w:color w:val="000000"/>
                <w:lang w:val="uk-UA" w:eastAsia="ar-SA"/>
              </w:rPr>
              <w:t>Товар повинен відповідати вимогам діючих ДСТУ щодо даного продукту (ДСТУ 8133:2015 Яблука свіжі середніх та пізніх термінів достигання. Технічні умови, та/або 8323:2015 Яблука свіжі ранніх термінів достигання. Технічні умови) та/або діючим ТУ.</w:t>
            </w:r>
          </w:p>
        </w:tc>
      </w:tr>
      <w:tr w:rsidR="002E6514" w:rsidRPr="00BA0823" w14:paraId="290CBE64" w14:textId="77777777" w:rsidTr="00C85FF6">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2E6514" w:rsidRPr="00823A8A" w:rsidRDefault="002E6514" w:rsidP="002E6514">
            <w:pPr>
              <w:jc w:val="center"/>
              <w:rPr>
                <w:sz w:val="22"/>
                <w:szCs w:val="22"/>
                <w:lang w:val="uk-UA"/>
              </w:rPr>
            </w:pPr>
            <w:r>
              <w:rPr>
                <w:sz w:val="22"/>
                <w:szCs w:val="22"/>
                <w:lang w:val="uk-UA"/>
              </w:rPr>
              <w:t>2</w:t>
            </w:r>
          </w:p>
        </w:tc>
        <w:tc>
          <w:tcPr>
            <w:tcW w:w="1247" w:type="dxa"/>
          </w:tcPr>
          <w:p w14:paraId="496C4840" w14:textId="742F23D9" w:rsidR="002E6514" w:rsidRPr="00653483" w:rsidRDefault="002E6514" w:rsidP="002E6514">
            <w:pPr>
              <w:rPr>
                <w:b/>
                <w:lang w:val="uk-UA"/>
              </w:rPr>
            </w:pPr>
            <w:r w:rsidRPr="00750FAC">
              <w:rPr>
                <w:b/>
                <w:lang w:val="uk-UA"/>
              </w:rPr>
              <w:t>Банани</w:t>
            </w:r>
          </w:p>
        </w:tc>
        <w:tc>
          <w:tcPr>
            <w:tcW w:w="1276" w:type="dxa"/>
          </w:tcPr>
          <w:p w14:paraId="5A1CA30E" w14:textId="1EDA4EA8" w:rsidR="002E6514" w:rsidRPr="00823A8A" w:rsidRDefault="0043645C" w:rsidP="002E6514">
            <w:pPr>
              <w:jc w:val="center"/>
              <w:rPr>
                <w:sz w:val="22"/>
                <w:szCs w:val="22"/>
                <w:lang w:val="uk-UA"/>
              </w:rPr>
            </w:pPr>
            <w:r>
              <w:rPr>
                <w:lang w:val="uk-UA"/>
              </w:rPr>
              <w:t>3</w:t>
            </w:r>
            <w:r w:rsidR="002E6514" w:rsidRPr="00750FAC">
              <w:rPr>
                <w:lang w:val="uk-UA"/>
              </w:rPr>
              <w:t>0 000,00 кг.</w:t>
            </w:r>
          </w:p>
        </w:tc>
        <w:tc>
          <w:tcPr>
            <w:tcW w:w="7686" w:type="dxa"/>
          </w:tcPr>
          <w:p w14:paraId="17A827D4" w14:textId="12A92DD4" w:rsidR="002E6514" w:rsidRPr="00C85FF6" w:rsidRDefault="002E6514" w:rsidP="002E6514">
            <w:pPr>
              <w:jc w:val="both"/>
              <w:rPr>
                <w:lang w:val="uk-UA"/>
              </w:rPr>
            </w:pPr>
            <w:r w:rsidRPr="00750FAC">
              <w:rPr>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r w:rsidR="007E4411" w:rsidRPr="00BA0823" w14:paraId="7EE8FAC6" w14:textId="77777777" w:rsidTr="00C85FF6">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7E4411" w:rsidRPr="00823A8A" w:rsidRDefault="007E4411" w:rsidP="007E4411">
            <w:pPr>
              <w:jc w:val="center"/>
              <w:rPr>
                <w:sz w:val="22"/>
                <w:szCs w:val="22"/>
                <w:lang w:val="uk-UA"/>
              </w:rPr>
            </w:pPr>
            <w:r>
              <w:rPr>
                <w:sz w:val="22"/>
                <w:szCs w:val="22"/>
                <w:lang w:val="uk-UA"/>
              </w:rPr>
              <w:t>3</w:t>
            </w:r>
          </w:p>
        </w:tc>
        <w:tc>
          <w:tcPr>
            <w:tcW w:w="1247" w:type="dxa"/>
          </w:tcPr>
          <w:p w14:paraId="53BB40E4" w14:textId="47E51F46" w:rsidR="007E4411" w:rsidRPr="00823A8A" w:rsidRDefault="007E4411" w:rsidP="007E4411">
            <w:pPr>
              <w:jc w:val="both"/>
              <w:rPr>
                <w:b/>
                <w:sz w:val="22"/>
                <w:szCs w:val="22"/>
                <w:lang w:val="uk-UA"/>
              </w:rPr>
            </w:pPr>
            <w:r w:rsidRPr="00750FAC">
              <w:rPr>
                <w:b/>
                <w:lang w:val="uk-UA"/>
              </w:rPr>
              <w:t>Апельсин</w:t>
            </w:r>
          </w:p>
        </w:tc>
        <w:tc>
          <w:tcPr>
            <w:tcW w:w="1276" w:type="dxa"/>
          </w:tcPr>
          <w:p w14:paraId="51B54856" w14:textId="2E0EABAD" w:rsidR="007E4411" w:rsidRPr="00823A8A" w:rsidRDefault="0043645C" w:rsidP="007E4411">
            <w:pPr>
              <w:jc w:val="center"/>
              <w:rPr>
                <w:sz w:val="22"/>
                <w:szCs w:val="22"/>
                <w:lang w:val="uk-UA"/>
              </w:rPr>
            </w:pPr>
            <w:r>
              <w:rPr>
                <w:lang w:val="uk-UA"/>
              </w:rPr>
              <w:t>3</w:t>
            </w:r>
            <w:r w:rsidR="007E4411" w:rsidRPr="00750FAC">
              <w:rPr>
                <w:lang w:val="uk-UA"/>
              </w:rPr>
              <w:t>0 000,00 кг.</w:t>
            </w:r>
          </w:p>
        </w:tc>
        <w:tc>
          <w:tcPr>
            <w:tcW w:w="7686" w:type="dxa"/>
          </w:tcPr>
          <w:p w14:paraId="32A4FF75" w14:textId="5FAE44E6" w:rsidR="007E4411" w:rsidRPr="00632A93" w:rsidRDefault="007E4411" w:rsidP="007E4411">
            <w:pPr>
              <w:jc w:val="both"/>
              <w:rPr>
                <w:bCs/>
                <w:shd w:val="clear" w:color="auto" w:fill="FFFFFF"/>
                <w:lang w:val="uk-UA"/>
              </w:rPr>
            </w:pPr>
            <w:r w:rsidRPr="00750FAC">
              <w:rPr>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16D1F76" w:rsidR="005C2D7A" w:rsidRPr="00C85FF6" w:rsidRDefault="005C2D7A" w:rsidP="005C2D7A">
      <w:pPr>
        <w:ind w:firstLine="709"/>
        <w:jc w:val="both"/>
        <w:rPr>
          <w:iCs/>
          <w:sz w:val="22"/>
          <w:lang w:val="uk-UA"/>
        </w:rPr>
      </w:pPr>
      <w:bookmarkStart w:id="10" w:name="_Hlk158031811"/>
      <w:r w:rsidRPr="00C85FF6">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C85FF6">
        <w:rPr>
          <w:iCs/>
          <w:sz w:val="22"/>
          <w:lang w:val="uk-UA"/>
        </w:rPr>
        <w:t xml:space="preserve"> Запропонований учасником до закупівлі товар повинен відповідати вимогам,</w:t>
      </w:r>
      <w:r w:rsidR="001D4ED6">
        <w:rPr>
          <w:iCs/>
          <w:sz w:val="22"/>
          <w:lang w:val="uk-UA"/>
        </w:rPr>
        <w:t xml:space="preserve"> </w:t>
      </w:r>
      <w:r w:rsidR="009212EC" w:rsidRPr="00C85FF6">
        <w:rPr>
          <w:iCs/>
          <w:sz w:val="22"/>
          <w:lang w:val="uk-UA"/>
        </w:rPr>
        <w:t>за основними показниками</w:t>
      </w:r>
      <w:r w:rsidR="00AD53E6" w:rsidRPr="00C85FF6">
        <w:rPr>
          <w:iCs/>
          <w:sz w:val="22"/>
          <w:lang w:val="uk-UA"/>
        </w:rPr>
        <w:t xml:space="preserve">, </w:t>
      </w:r>
      <w:bookmarkStart w:id="11" w:name="_Hlk154151721"/>
      <w:r w:rsidR="00AD53E6" w:rsidRPr="00C85FF6">
        <w:rPr>
          <w:iCs/>
          <w:sz w:val="22"/>
          <w:lang w:val="uk-UA"/>
        </w:rPr>
        <w:t xml:space="preserve">а саме: </w:t>
      </w:r>
      <w:bookmarkStart w:id="12" w:name="_Hlk158031640"/>
      <w:r w:rsidR="00FB2D22" w:rsidRPr="00C85FF6">
        <w:rPr>
          <w:iCs/>
          <w:sz w:val="22"/>
          <w:lang w:val="uk-UA"/>
        </w:rPr>
        <w:t xml:space="preserve">1) </w:t>
      </w:r>
      <w:r w:rsidR="00250126" w:rsidRPr="00C85FF6">
        <w:rPr>
          <w:iCs/>
          <w:sz w:val="22"/>
          <w:lang w:val="uk-UA"/>
        </w:rPr>
        <w:t>органолептичними</w:t>
      </w:r>
      <w:r w:rsidR="00FB2D22" w:rsidRPr="00C85FF6">
        <w:rPr>
          <w:iCs/>
          <w:sz w:val="22"/>
          <w:lang w:val="uk-UA"/>
        </w:rPr>
        <w:t>;</w:t>
      </w:r>
      <w:r w:rsidR="00250126" w:rsidRPr="00C85FF6">
        <w:rPr>
          <w:iCs/>
          <w:sz w:val="22"/>
          <w:lang w:val="uk-UA"/>
        </w:rPr>
        <w:t xml:space="preserve"> </w:t>
      </w:r>
      <w:r w:rsidR="00FB2D22" w:rsidRPr="00C85FF6">
        <w:rPr>
          <w:iCs/>
          <w:sz w:val="22"/>
          <w:lang w:val="uk-UA"/>
        </w:rPr>
        <w:t xml:space="preserve">2) </w:t>
      </w:r>
      <w:r w:rsidR="005B78DB">
        <w:rPr>
          <w:iCs/>
          <w:sz w:val="22"/>
          <w:lang w:val="uk-UA"/>
        </w:rPr>
        <w:t>радіоло</w:t>
      </w:r>
      <w:r w:rsidR="001D4ED6">
        <w:rPr>
          <w:iCs/>
          <w:sz w:val="22"/>
          <w:lang w:val="uk-UA"/>
        </w:rPr>
        <w:t xml:space="preserve">гічними (дослідження на стронцій, цезій). Також мікробіологічними дослідженнями </w:t>
      </w:r>
      <w:r w:rsidR="001D4ED6" w:rsidRPr="001D4ED6">
        <w:rPr>
          <w:iCs/>
          <w:sz w:val="22"/>
          <w:lang w:val="uk-UA"/>
        </w:rPr>
        <w:t>з наданням фактичних значень</w:t>
      </w:r>
      <w:r w:rsidR="001D4ED6">
        <w:rPr>
          <w:iCs/>
          <w:sz w:val="22"/>
          <w:lang w:val="uk-UA"/>
        </w:rPr>
        <w:t xml:space="preserve"> </w:t>
      </w:r>
      <w:r w:rsidR="00250126" w:rsidRPr="00C85FF6">
        <w:rPr>
          <w:iCs/>
          <w:sz w:val="22"/>
          <w:lang w:val="uk-UA"/>
        </w:rPr>
        <w:t xml:space="preserve"> </w:t>
      </w:r>
      <w:r w:rsidR="001D4ED6">
        <w:rPr>
          <w:iCs/>
          <w:sz w:val="22"/>
          <w:lang w:val="uk-UA"/>
        </w:rPr>
        <w:t>яким</w:t>
      </w:r>
      <w:r w:rsidR="00350A9C" w:rsidRPr="00C85FF6">
        <w:rPr>
          <w:iCs/>
          <w:sz w:val="22"/>
          <w:lang w:val="uk-UA"/>
        </w:rPr>
        <w:t xml:space="preserve"> </w:t>
      </w:r>
      <w:r w:rsidR="00341404" w:rsidRPr="00C85FF6">
        <w:rPr>
          <w:iCs/>
          <w:sz w:val="22"/>
          <w:lang w:val="uk-UA"/>
        </w:rPr>
        <w:t xml:space="preserve">підтверджена відсутність </w:t>
      </w:r>
      <w:bookmarkEnd w:id="11"/>
      <w:proofErr w:type="spellStart"/>
      <w:r w:rsidR="001D4ED6">
        <w:rPr>
          <w:iCs/>
          <w:sz w:val="22"/>
          <w:lang w:val="uk-UA"/>
        </w:rPr>
        <w:t>Лістерії</w:t>
      </w:r>
      <w:proofErr w:type="spellEnd"/>
      <w:r w:rsidR="001D4ED6">
        <w:rPr>
          <w:iCs/>
          <w:sz w:val="22"/>
          <w:lang w:val="uk-UA"/>
        </w:rPr>
        <w:t>/(</w:t>
      </w:r>
      <w:proofErr w:type="spellStart"/>
      <w:r w:rsidR="001D4ED6" w:rsidRPr="001D4ED6">
        <w:rPr>
          <w:iCs/>
          <w:sz w:val="22"/>
          <w:lang w:val="uk-UA"/>
        </w:rPr>
        <w:t>Listeria</w:t>
      </w:r>
      <w:proofErr w:type="spellEnd"/>
      <w:r w:rsidR="001D4ED6">
        <w:rPr>
          <w:iCs/>
          <w:sz w:val="22"/>
          <w:lang w:val="uk-UA"/>
        </w:rPr>
        <w:t xml:space="preserve">), </w:t>
      </w:r>
      <w:bookmarkEnd w:id="12"/>
      <w:r w:rsidR="009212EC" w:rsidRPr="00C85FF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7E4411" w:rsidRPr="00C85FF6">
        <w:rPr>
          <w:iCs/>
          <w:sz w:val="22"/>
          <w:lang w:val="uk-UA"/>
        </w:rPr>
        <w:t>,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bookmarkEnd w:id="10"/>
    <w:p w14:paraId="2E409685" w14:textId="77777777" w:rsidR="005C2D7A" w:rsidRPr="00C85FF6" w:rsidRDefault="005C2D7A" w:rsidP="005C2D7A">
      <w:pPr>
        <w:ind w:firstLine="709"/>
        <w:jc w:val="both"/>
        <w:rPr>
          <w:iCs/>
          <w:sz w:val="22"/>
          <w:lang w:val="uk-UA"/>
        </w:rPr>
      </w:pPr>
      <w:r w:rsidRPr="00C85FF6">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C85FF6" w:rsidRDefault="005C2D7A" w:rsidP="005C2D7A">
      <w:pPr>
        <w:ind w:firstLine="709"/>
        <w:jc w:val="both"/>
        <w:rPr>
          <w:iCs/>
          <w:sz w:val="22"/>
          <w:lang w:val="uk-UA"/>
        </w:rPr>
      </w:pPr>
      <w:r w:rsidRPr="00C85FF6">
        <w:rPr>
          <w:iCs/>
          <w:sz w:val="22"/>
          <w:lang w:val="uk-UA"/>
        </w:rPr>
        <w:t>Товар при поставці повинен супроводжуватись декларацією виробника (</w:t>
      </w:r>
      <w:r w:rsidR="002B7433" w:rsidRPr="00C85FF6">
        <w:rPr>
          <w:iCs/>
          <w:sz w:val="22"/>
          <w:lang w:val="uk-UA"/>
        </w:rPr>
        <w:t xml:space="preserve">або </w:t>
      </w:r>
      <w:r w:rsidRPr="00C85FF6">
        <w:rPr>
          <w:iCs/>
          <w:sz w:val="22"/>
          <w:lang w:val="uk-UA"/>
        </w:rPr>
        <w:t>якісними посвідченнями</w:t>
      </w:r>
      <w:r w:rsidR="002B7433" w:rsidRPr="00C85FF6">
        <w:rPr>
          <w:iCs/>
          <w:sz w:val="22"/>
          <w:lang w:val="uk-UA"/>
        </w:rPr>
        <w:t xml:space="preserve"> чи посвідченням якості/відповідності</w:t>
      </w:r>
      <w:r w:rsidRPr="00C85FF6">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C85FF6">
        <w:rPr>
          <w:iCs/>
          <w:sz w:val="22"/>
          <w:lang w:val="uk-UA"/>
        </w:rPr>
        <w:t xml:space="preserve">Надана </w:t>
      </w:r>
      <w:r w:rsidRPr="00823A8A">
        <w:rPr>
          <w:iCs/>
          <w:sz w:val="22"/>
          <w:lang w:val="uk-UA"/>
        </w:rPr>
        <w:t>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1064B641" w:rsidR="005C2D7A" w:rsidRPr="00C85FF6" w:rsidRDefault="00BC6C56" w:rsidP="005C2D7A">
      <w:pPr>
        <w:ind w:firstLine="709"/>
        <w:jc w:val="both"/>
        <w:rPr>
          <w:iCs/>
          <w:sz w:val="22"/>
          <w:lang w:val="uk-UA"/>
        </w:rPr>
      </w:pPr>
      <w:bookmarkStart w:id="13" w:name="_Hlk158032429"/>
      <w:r w:rsidRPr="00C85FF6">
        <w:rPr>
          <w:iCs/>
          <w:sz w:val="22"/>
          <w:lang w:val="uk-UA"/>
        </w:rPr>
        <w:t xml:space="preserve">1. </w:t>
      </w:r>
      <w:r w:rsidR="00341404" w:rsidRPr="00C85FF6">
        <w:rPr>
          <w:iCs/>
          <w:sz w:val="22"/>
          <w:lang w:val="uk-UA"/>
        </w:rPr>
        <w:t xml:space="preserve">виданий не раніше чотирьох місяців відносно кінцевої дати подання тендерних пропозицій </w:t>
      </w:r>
      <w:r w:rsidR="005C2D7A" w:rsidRPr="00C85FF6">
        <w:rPr>
          <w:iCs/>
          <w:sz w:val="22"/>
          <w:lang w:val="uk-UA"/>
        </w:rPr>
        <w:t>акре</w:t>
      </w:r>
      <w:r w:rsidRPr="00C85FF6">
        <w:rPr>
          <w:iCs/>
          <w:sz w:val="22"/>
          <w:lang w:val="uk-UA"/>
        </w:rPr>
        <w:t>дитованою лабораторією протокол</w:t>
      </w:r>
      <w:r w:rsidR="005C2D7A" w:rsidRPr="00C85FF6">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C85FF6">
        <w:rPr>
          <w:iCs/>
          <w:sz w:val="22"/>
          <w:lang w:val="uk-UA"/>
        </w:rPr>
        <w:t>ментів за основними</w:t>
      </w:r>
      <w:r w:rsidR="00FB2D22" w:rsidRPr="00C85FF6">
        <w:rPr>
          <w:iCs/>
          <w:sz w:val="22"/>
          <w:lang w:val="uk-UA"/>
        </w:rPr>
        <w:t xml:space="preserve"> показниками,</w:t>
      </w:r>
      <w:r w:rsidR="00FB2D22" w:rsidRPr="00C85FF6">
        <w:rPr>
          <w:lang w:val="uk-UA"/>
        </w:rPr>
        <w:t xml:space="preserve"> </w:t>
      </w:r>
      <w:r w:rsidR="00FB2D22" w:rsidRPr="00C85FF6">
        <w:rPr>
          <w:iCs/>
          <w:sz w:val="22"/>
          <w:lang w:val="uk-UA"/>
        </w:rPr>
        <w:t xml:space="preserve">а саме: </w:t>
      </w:r>
      <w:r w:rsidR="001D4ED6" w:rsidRPr="001D4ED6">
        <w:rPr>
          <w:iCs/>
          <w:sz w:val="22"/>
          <w:lang w:val="uk-UA"/>
        </w:rPr>
        <w:t>1) органолептичними; 2) радіологічними (дослідження на стронцій, цезій)</w:t>
      </w:r>
      <w:r w:rsidR="001D4ED6">
        <w:rPr>
          <w:iCs/>
          <w:sz w:val="22"/>
          <w:lang w:val="uk-UA"/>
        </w:rPr>
        <w:t>,</w:t>
      </w:r>
      <w:r w:rsidR="001D4ED6" w:rsidRPr="001D4ED6">
        <w:rPr>
          <w:iCs/>
          <w:sz w:val="22"/>
          <w:lang w:val="uk-UA"/>
        </w:rPr>
        <w:t xml:space="preserve"> </w:t>
      </w:r>
      <w:r w:rsidR="001D4ED6">
        <w:rPr>
          <w:iCs/>
          <w:sz w:val="22"/>
          <w:lang w:val="uk-UA"/>
        </w:rPr>
        <w:t>т</w:t>
      </w:r>
      <w:r w:rsidR="001D4ED6" w:rsidRPr="001D4ED6">
        <w:rPr>
          <w:iCs/>
          <w:sz w:val="22"/>
          <w:lang w:val="uk-UA"/>
        </w:rPr>
        <w:t>акож мікробіологічн</w:t>
      </w:r>
      <w:r w:rsidR="001D4ED6">
        <w:rPr>
          <w:iCs/>
          <w:sz w:val="22"/>
          <w:lang w:val="uk-UA"/>
        </w:rPr>
        <w:t>ими</w:t>
      </w:r>
      <w:r w:rsidR="001D4ED6" w:rsidRPr="001D4ED6">
        <w:rPr>
          <w:iCs/>
          <w:sz w:val="22"/>
          <w:lang w:val="uk-UA"/>
        </w:rPr>
        <w:t xml:space="preserve"> дослідження</w:t>
      </w:r>
      <w:r w:rsidR="001D4ED6">
        <w:rPr>
          <w:iCs/>
          <w:sz w:val="22"/>
          <w:lang w:val="uk-UA"/>
        </w:rPr>
        <w:t>ми</w:t>
      </w:r>
      <w:r w:rsidR="001D4ED6" w:rsidRPr="001D4ED6">
        <w:rPr>
          <w:iCs/>
          <w:sz w:val="22"/>
          <w:lang w:val="uk-UA"/>
        </w:rPr>
        <w:t xml:space="preserve"> з наданням фактичних значень  яким підтверджена відсутність </w:t>
      </w:r>
      <w:proofErr w:type="spellStart"/>
      <w:r w:rsidR="001D4ED6" w:rsidRPr="001D4ED6">
        <w:rPr>
          <w:iCs/>
          <w:sz w:val="22"/>
          <w:lang w:val="uk-UA"/>
        </w:rPr>
        <w:t>Лістерії</w:t>
      </w:r>
      <w:proofErr w:type="spellEnd"/>
      <w:r w:rsidR="001D4ED6" w:rsidRPr="001D4ED6">
        <w:rPr>
          <w:iCs/>
          <w:sz w:val="22"/>
          <w:lang w:val="uk-UA"/>
        </w:rPr>
        <w:t>/(</w:t>
      </w:r>
      <w:proofErr w:type="spellStart"/>
      <w:r w:rsidR="001D4ED6" w:rsidRPr="001D4ED6">
        <w:rPr>
          <w:iCs/>
          <w:sz w:val="22"/>
          <w:lang w:val="uk-UA"/>
        </w:rPr>
        <w:t>Listeria</w:t>
      </w:r>
      <w:proofErr w:type="spellEnd"/>
      <w:r w:rsidR="001D4ED6" w:rsidRPr="001D4ED6">
        <w:rPr>
          <w:iCs/>
          <w:sz w:val="22"/>
          <w:lang w:val="uk-UA"/>
        </w:rPr>
        <w:t>)</w:t>
      </w:r>
      <w:r w:rsidR="00FB2D22" w:rsidRPr="00C85FF6">
        <w:rPr>
          <w:iCs/>
          <w:sz w:val="22"/>
          <w:lang w:val="uk-UA"/>
        </w:rPr>
        <w:t>.  Н</w:t>
      </w:r>
      <w:r w:rsidR="005C2D7A" w:rsidRPr="00C85FF6">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bookmarkEnd w:id="13"/>
    <w:p w14:paraId="11E766B8" w14:textId="34A8DA7F" w:rsidR="00975CE2" w:rsidRPr="00C85FF6" w:rsidRDefault="00C85FF6" w:rsidP="00975CE2">
      <w:pPr>
        <w:ind w:firstLine="709"/>
        <w:jc w:val="both"/>
        <w:rPr>
          <w:iCs/>
          <w:sz w:val="22"/>
          <w:lang w:val="uk-UA"/>
        </w:rPr>
      </w:pPr>
      <w:r>
        <w:rPr>
          <w:iCs/>
          <w:sz w:val="22"/>
          <w:lang w:val="uk-UA"/>
        </w:rPr>
        <w:t>2</w:t>
      </w:r>
      <w:r w:rsidR="00975CE2" w:rsidRPr="00C85FF6">
        <w:rPr>
          <w:iCs/>
          <w:sz w:val="22"/>
          <w:lang w:val="uk-UA"/>
        </w:rPr>
        <w:t>. посвідчення про якість</w:t>
      </w:r>
      <w:r w:rsidR="00EE6032" w:rsidRPr="00C85FF6">
        <w:rPr>
          <w:iCs/>
          <w:sz w:val="22"/>
          <w:lang w:val="uk-UA"/>
        </w:rPr>
        <w:t>,</w:t>
      </w:r>
      <w:r w:rsidR="00975CE2" w:rsidRPr="00C85FF6">
        <w:rPr>
          <w:iCs/>
          <w:sz w:val="22"/>
          <w:lang w:val="uk-UA"/>
        </w:rPr>
        <w:t xml:space="preserve"> або</w:t>
      </w:r>
      <w:r w:rsidR="002B7433" w:rsidRPr="00C85FF6">
        <w:rPr>
          <w:iCs/>
          <w:sz w:val="22"/>
          <w:lang w:val="uk-UA"/>
        </w:rPr>
        <w:t xml:space="preserve"> якісне посвідчення</w:t>
      </w:r>
      <w:r w:rsidR="00EE6032" w:rsidRPr="00C85FF6">
        <w:rPr>
          <w:iCs/>
          <w:sz w:val="22"/>
          <w:lang w:val="uk-UA"/>
        </w:rPr>
        <w:t>,</w:t>
      </w:r>
      <w:r w:rsidR="002B7433" w:rsidRPr="00C85FF6">
        <w:rPr>
          <w:iCs/>
          <w:sz w:val="22"/>
          <w:lang w:val="uk-UA"/>
        </w:rPr>
        <w:t xml:space="preserve">  або сертифікат </w:t>
      </w:r>
      <w:r w:rsidR="00EE6032" w:rsidRPr="00C85FF6">
        <w:rPr>
          <w:iCs/>
          <w:sz w:val="22"/>
          <w:lang w:val="uk-UA"/>
        </w:rPr>
        <w:t xml:space="preserve">якості чи </w:t>
      </w:r>
      <w:r w:rsidR="002B7433" w:rsidRPr="00C85FF6">
        <w:rPr>
          <w:iCs/>
          <w:sz w:val="22"/>
          <w:lang w:val="uk-UA"/>
        </w:rPr>
        <w:t>відповідності</w:t>
      </w:r>
      <w:r w:rsidR="00EE6032" w:rsidRPr="00C85FF6">
        <w:rPr>
          <w:iCs/>
          <w:sz w:val="22"/>
          <w:lang w:val="uk-UA"/>
        </w:rPr>
        <w:t>,</w:t>
      </w:r>
      <w:r w:rsidR="00975CE2" w:rsidRPr="00C85FF6">
        <w:rPr>
          <w:iCs/>
          <w:sz w:val="22"/>
          <w:lang w:val="uk-UA"/>
        </w:rPr>
        <w:t xml:space="preserve"> </w:t>
      </w:r>
      <w:r w:rsidR="00EE6032" w:rsidRPr="00C85FF6">
        <w:rPr>
          <w:iCs/>
          <w:sz w:val="22"/>
          <w:lang w:val="uk-UA"/>
        </w:rPr>
        <w:t xml:space="preserve">або </w:t>
      </w:r>
      <w:r w:rsidR="00975CE2" w:rsidRPr="00C85FF6">
        <w:rPr>
          <w:iCs/>
          <w:sz w:val="22"/>
          <w:lang w:val="uk-UA"/>
        </w:rPr>
        <w:t>декларація виробника на запропонований учасником товар;</w:t>
      </w:r>
    </w:p>
    <w:p w14:paraId="428DAD40" w14:textId="58F72C63" w:rsidR="005C2D7A" w:rsidRPr="00C85FF6" w:rsidRDefault="00C85FF6" w:rsidP="00975CE2">
      <w:pPr>
        <w:ind w:firstLine="709"/>
        <w:jc w:val="both"/>
        <w:rPr>
          <w:iCs/>
          <w:sz w:val="22"/>
          <w:lang w:val="uk-UA"/>
        </w:rPr>
      </w:pPr>
      <w:r>
        <w:rPr>
          <w:iCs/>
          <w:sz w:val="22"/>
          <w:lang w:val="uk-UA"/>
        </w:rPr>
        <w:t>3</w:t>
      </w:r>
      <w:r w:rsidR="00393ADB" w:rsidRPr="00C85FF6">
        <w:rPr>
          <w:iCs/>
          <w:sz w:val="22"/>
          <w:lang w:val="uk-UA"/>
        </w:rPr>
        <w:t>.</w:t>
      </w:r>
      <w:r w:rsidR="002778E3" w:rsidRPr="00C85FF6">
        <w:rPr>
          <w:iCs/>
          <w:sz w:val="22"/>
          <w:lang w:val="uk-UA"/>
        </w:rPr>
        <w:t xml:space="preserve"> довідка довільної форми з інформацією про перелік </w:t>
      </w:r>
      <w:r w:rsidR="002778E3" w:rsidRPr="00C85FF6">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C85FF6">
        <w:rPr>
          <w:iCs/>
          <w:sz w:val="22"/>
          <w:lang w:val="uk-UA"/>
        </w:rPr>
        <w:t>;</w:t>
      </w:r>
    </w:p>
    <w:p w14:paraId="71948589" w14:textId="4F7F1F5E" w:rsidR="00975CE2" w:rsidRPr="00C85FF6" w:rsidRDefault="00C85FF6" w:rsidP="00975CE2">
      <w:pPr>
        <w:ind w:firstLine="709"/>
        <w:jc w:val="both"/>
        <w:rPr>
          <w:iCs/>
          <w:sz w:val="22"/>
          <w:lang w:val="uk-UA"/>
        </w:rPr>
      </w:pPr>
      <w:r>
        <w:rPr>
          <w:iCs/>
          <w:sz w:val="22"/>
          <w:lang w:val="uk-UA"/>
        </w:rPr>
        <w:t>4</w:t>
      </w:r>
      <w:r w:rsidR="00975CE2" w:rsidRPr="00C85FF6">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C85FF6">
        <w:rPr>
          <w:iCs/>
          <w:sz w:val="22"/>
          <w:lang w:val="uk-UA"/>
        </w:rPr>
        <w:t>:2019 (ISO 22000:2018, IDT</w:t>
      </w:r>
      <w:r w:rsidR="00975CE2" w:rsidRPr="00C85FF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C85FF6">
        <w:rPr>
          <w:iCs/>
          <w:sz w:val="22"/>
          <w:lang w:val="uk-UA"/>
        </w:rPr>
        <w:t>IDT</w:t>
      </w:r>
      <w:r w:rsidR="00975CE2" w:rsidRPr="00C85FF6">
        <w:rPr>
          <w:iCs/>
          <w:sz w:val="22"/>
          <w:lang w:val="uk-UA"/>
        </w:rPr>
        <w:t>), що підтверджує його відповідну сферу акредитації;</w:t>
      </w:r>
    </w:p>
    <w:p w14:paraId="69D3DA78" w14:textId="56F35134" w:rsidR="00975CE2" w:rsidRPr="00C85FF6" w:rsidRDefault="00C85FF6" w:rsidP="00975CE2">
      <w:pPr>
        <w:ind w:firstLine="709"/>
        <w:jc w:val="both"/>
        <w:rPr>
          <w:iCs/>
          <w:sz w:val="22"/>
          <w:lang w:val="uk-UA"/>
        </w:rPr>
      </w:pPr>
      <w:r>
        <w:rPr>
          <w:iCs/>
          <w:sz w:val="22"/>
          <w:lang w:val="uk-UA"/>
        </w:rPr>
        <w:t>5</w:t>
      </w:r>
      <w:r w:rsidR="00975CE2" w:rsidRPr="00C85FF6">
        <w:rPr>
          <w:iCs/>
          <w:sz w:val="22"/>
          <w:lang w:val="uk-UA"/>
        </w:rPr>
        <w:t xml:space="preserve">. на підтвердження наявності </w:t>
      </w:r>
      <w:r w:rsidR="00393ADB" w:rsidRPr="00C85FF6">
        <w:rPr>
          <w:iCs/>
          <w:sz w:val="22"/>
          <w:lang w:val="uk-UA"/>
        </w:rPr>
        <w:t>у</w:t>
      </w:r>
      <w:r w:rsidR="00975CE2" w:rsidRPr="00C85FF6">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C85FF6">
        <w:rPr>
          <w:iCs/>
          <w:sz w:val="22"/>
          <w:lang w:val="uk-UA"/>
        </w:rPr>
        <w:t>IDT</w:t>
      </w:r>
      <w:r w:rsidR="00975CE2" w:rsidRPr="00C85FF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C85FF6">
        <w:rPr>
          <w:iCs/>
          <w:sz w:val="22"/>
          <w:lang w:val="uk-UA"/>
        </w:rPr>
        <w:t>IDT</w:t>
      </w:r>
      <w:r w:rsidR="00975CE2" w:rsidRPr="00C85FF6">
        <w:rPr>
          <w:iCs/>
          <w:sz w:val="22"/>
          <w:lang w:val="uk-UA"/>
        </w:rPr>
        <w:t>), що підтверджує його відповідну сферу акредитації;</w:t>
      </w:r>
    </w:p>
    <w:p w14:paraId="7F71179D" w14:textId="5844CFCC" w:rsidR="00975CE2" w:rsidRPr="00C85FF6" w:rsidRDefault="00C85FF6" w:rsidP="00975CE2">
      <w:pPr>
        <w:ind w:firstLine="709"/>
        <w:jc w:val="both"/>
        <w:rPr>
          <w:iCs/>
          <w:sz w:val="22"/>
          <w:lang w:val="uk-UA"/>
        </w:rPr>
      </w:pPr>
      <w:r>
        <w:rPr>
          <w:iCs/>
          <w:sz w:val="22"/>
          <w:lang w:val="uk-UA"/>
        </w:rPr>
        <w:t>6</w:t>
      </w:r>
      <w:r w:rsidR="00975CE2" w:rsidRPr="00C85FF6">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C85FF6">
        <w:rPr>
          <w:iCs/>
          <w:sz w:val="22"/>
          <w:lang w:val="uk-UA"/>
        </w:rPr>
        <w:t>IDT</w:t>
      </w:r>
      <w:r w:rsidR="00975CE2" w:rsidRPr="00C85FF6">
        <w:rPr>
          <w:iCs/>
          <w:sz w:val="22"/>
          <w:lang w:val="uk-UA"/>
        </w:rPr>
        <w:t>)</w:t>
      </w:r>
      <w:r w:rsidR="00393ADB" w:rsidRPr="00C85FF6">
        <w:rPr>
          <w:lang w:val="uk-UA"/>
        </w:rPr>
        <w:t xml:space="preserve"> </w:t>
      </w:r>
      <w:r w:rsidR="00393ADB" w:rsidRPr="00C85FF6">
        <w:rPr>
          <w:iCs/>
          <w:sz w:val="22"/>
          <w:lang w:val="uk-UA"/>
        </w:rPr>
        <w:t>або ДСТУ ISO 9001:2018,</w:t>
      </w:r>
      <w:r w:rsidR="00975CE2" w:rsidRPr="00C85FF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C85FF6">
        <w:rPr>
          <w:iCs/>
          <w:sz w:val="22"/>
          <w:lang w:val="uk-UA"/>
        </w:rPr>
        <w:t>IDT</w:t>
      </w:r>
      <w:r w:rsidR="00975CE2" w:rsidRPr="00C85FF6">
        <w:rPr>
          <w:iCs/>
          <w:sz w:val="22"/>
          <w:lang w:val="uk-UA"/>
        </w:rPr>
        <w:t>)</w:t>
      </w:r>
      <w:r w:rsidR="00393ADB" w:rsidRPr="00C85FF6">
        <w:rPr>
          <w:lang w:val="uk-UA"/>
        </w:rPr>
        <w:t xml:space="preserve"> </w:t>
      </w:r>
      <w:r w:rsidR="00393ADB" w:rsidRPr="00C85FF6">
        <w:rPr>
          <w:iCs/>
          <w:sz w:val="22"/>
          <w:lang w:val="uk-UA"/>
        </w:rPr>
        <w:t>або ДСТУ ISO 9001:2018,</w:t>
      </w:r>
      <w:r w:rsidR="00975CE2" w:rsidRPr="00C85FF6">
        <w:rPr>
          <w:iCs/>
          <w:sz w:val="22"/>
          <w:lang w:val="uk-UA"/>
        </w:rPr>
        <w:t xml:space="preserve"> що підтверджує його відповідну сферу акредитації; </w:t>
      </w:r>
    </w:p>
    <w:p w14:paraId="2652D948" w14:textId="7A6D2285" w:rsidR="00393ADB" w:rsidRPr="00C85FF6" w:rsidRDefault="00C85FF6" w:rsidP="000D6EAD">
      <w:pPr>
        <w:ind w:firstLine="709"/>
        <w:jc w:val="both"/>
        <w:rPr>
          <w:iCs/>
          <w:sz w:val="22"/>
          <w:lang w:val="uk-UA"/>
        </w:rPr>
      </w:pPr>
      <w:r>
        <w:rPr>
          <w:iCs/>
          <w:sz w:val="22"/>
          <w:lang w:val="uk-UA"/>
        </w:rPr>
        <w:t>7</w:t>
      </w:r>
      <w:r w:rsidR="00393ADB" w:rsidRPr="00C85FF6">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w:t>
      </w:r>
      <w:r w:rsidR="007E4411" w:rsidRPr="00C85FF6">
        <w:rPr>
          <w:iCs/>
          <w:sz w:val="22"/>
          <w:lang w:val="uk-UA"/>
        </w:rPr>
        <w:t>(</w:t>
      </w:r>
      <w:r w:rsidR="000D6EAD" w:rsidRPr="00C85FF6">
        <w:rPr>
          <w:iCs/>
          <w:sz w:val="22"/>
          <w:lang w:val="uk-UA"/>
        </w:rPr>
        <w:t>згідно наказу Міністерства аграрної політики та продовольства України № 1503 від 08 серпня 2023 року</w:t>
      </w:r>
      <w:r w:rsidR="00393ADB" w:rsidRPr="00C85FF6">
        <w:rPr>
          <w:iCs/>
          <w:sz w:val="22"/>
          <w:lang w:val="uk-UA"/>
        </w:rPr>
        <w:t xml:space="preserve">). Акт </w:t>
      </w:r>
      <w:r w:rsidR="00A82A35" w:rsidRPr="00C85FF6">
        <w:rPr>
          <w:iCs/>
          <w:sz w:val="22"/>
          <w:lang w:val="uk-UA"/>
        </w:rPr>
        <w:t xml:space="preserve">має бути </w:t>
      </w:r>
      <w:r w:rsidR="009A04DF" w:rsidRPr="00C85FF6">
        <w:rPr>
          <w:iCs/>
          <w:sz w:val="22"/>
          <w:lang w:val="uk-UA"/>
        </w:rPr>
        <w:t>без виявлених порушень</w:t>
      </w:r>
      <w:r w:rsidR="00393ADB" w:rsidRPr="00C85FF6">
        <w:rPr>
          <w:iCs/>
          <w:sz w:val="22"/>
          <w:lang w:val="uk-UA"/>
        </w:rPr>
        <w:t>;</w:t>
      </w:r>
    </w:p>
    <w:p w14:paraId="5E21AB4F" w14:textId="688B4F9E" w:rsidR="00393ADB" w:rsidRPr="00C85FF6" w:rsidRDefault="00C85FF6" w:rsidP="00393ADB">
      <w:pPr>
        <w:ind w:firstLine="709"/>
        <w:jc w:val="both"/>
        <w:rPr>
          <w:iCs/>
          <w:sz w:val="22"/>
          <w:lang w:val="uk-UA"/>
        </w:rPr>
      </w:pPr>
      <w:r>
        <w:rPr>
          <w:iCs/>
          <w:sz w:val="22"/>
          <w:lang w:val="uk-UA"/>
        </w:rPr>
        <w:t>8</w:t>
      </w:r>
      <w:r w:rsidR="00393ADB" w:rsidRPr="00C85FF6">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C85FF6">
        <w:rPr>
          <w:iCs/>
          <w:sz w:val="22"/>
          <w:lang w:val="uk-UA"/>
        </w:rPr>
        <w:t xml:space="preserve">має бути </w:t>
      </w:r>
      <w:r w:rsidR="00494206" w:rsidRPr="00C85FF6">
        <w:rPr>
          <w:iCs/>
          <w:sz w:val="22"/>
          <w:lang w:val="uk-UA"/>
        </w:rPr>
        <w:t>без виявлених порушень</w:t>
      </w:r>
      <w:r w:rsidR="00393ADB" w:rsidRPr="00C85FF6">
        <w:rPr>
          <w:iCs/>
          <w:sz w:val="22"/>
          <w:lang w:val="uk-UA"/>
        </w:rPr>
        <w:t>;</w:t>
      </w:r>
    </w:p>
    <w:p w14:paraId="7286AFA6" w14:textId="223D6383" w:rsidR="00C23463" w:rsidRPr="00C85FF6" w:rsidRDefault="00C85FF6" w:rsidP="009A04DF">
      <w:pPr>
        <w:ind w:firstLine="709"/>
        <w:jc w:val="both"/>
        <w:rPr>
          <w:iCs/>
          <w:sz w:val="22"/>
          <w:lang w:val="uk-UA"/>
        </w:rPr>
      </w:pPr>
      <w:r>
        <w:rPr>
          <w:iCs/>
          <w:sz w:val="22"/>
          <w:lang w:val="uk-UA"/>
        </w:rPr>
        <w:lastRenderedPageBreak/>
        <w:t>9</w:t>
      </w:r>
      <w:r w:rsidR="00C23463" w:rsidRPr="00C85FF6">
        <w:rPr>
          <w:bCs/>
          <w:sz w:val="22"/>
          <w:shd w:val="clear" w:color="auto" w:fill="FFFFFF"/>
          <w:lang w:val="uk-UA"/>
        </w:rPr>
        <w:t>.</w:t>
      </w:r>
      <w:r w:rsidR="002778E3" w:rsidRPr="00C85FF6">
        <w:rPr>
          <w:bCs/>
          <w:sz w:val="22"/>
          <w:shd w:val="clear" w:color="auto" w:fill="FFFFFF"/>
          <w:lang w:val="uk-UA"/>
        </w:rPr>
        <w:t xml:space="preserve"> </w:t>
      </w:r>
      <w:r w:rsidR="00AC5777" w:rsidRPr="00C85FF6">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5598E41F" w:rsidR="00200CBF" w:rsidRPr="00C85FF6" w:rsidRDefault="00200CBF" w:rsidP="009A04DF">
      <w:pPr>
        <w:ind w:firstLine="709"/>
        <w:jc w:val="both"/>
        <w:rPr>
          <w:iCs/>
          <w:sz w:val="22"/>
          <w:lang w:val="uk-UA"/>
        </w:rPr>
      </w:pPr>
      <w:r w:rsidRPr="00C85FF6">
        <w:rPr>
          <w:iCs/>
          <w:sz w:val="22"/>
          <w:lang w:val="uk-UA"/>
        </w:rPr>
        <w:t>1</w:t>
      </w:r>
      <w:r w:rsidR="00C85FF6">
        <w:rPr>
          <w:iCs/>
          <w:sz w:val="22"/>
          <w:lang w:val="uk-UA"/>
        </w:rPr>
        <w:t>0</w:t>
      </w:r>
      <w:r w:rsidRPr="00C85FF6">
        <w:rPr>
          <w:iCs/>
          <w:sz w:val="22"/>
          <w:lang w:val="uk-UA"/>
        </w:rPr>
        <w:t>.</w:t>
      </w:r>
      <w:r w:rsidR="00AC5777" w:rsidRPr="00C85FF6">
        <w:rPr>
          <w:bCs/>
          <w:sz w:val="22"/>
          <w:shd w:val="clear" w:color="auto" w:fill="FFFFFF"/>
          <w:lang w:val="uk-UA"/>
        </w:rPr>
        <w:t xml:space="preserve"> у разі, якщо предметом закупівлі є</w:t>
      </w:r>
      <w:r w:rsidR="00AC5777" w:rsidRPr="00C85FF6">
        <w:rPr>
          <w:iCs/>
          <w:sz w:val="22"/>
          <w:lang w:val="uk-UA"/>
        </w:rPr>
        <w:t xml:space="preserve"> продукція тваринного походження, тендерна пропозиція учасника повинна містити</w:t>
      </w:r>
      <w:r w:rsidR="00AC5777" w:rsidRPr="00C85FF6">
        <w:rPr>
          <w:bCs/>
          <w:sz w:val="22"/>
          <w:shd w:val="clear" w:color="auto" w:fill="FFFFFF"/>
          <w:lang w:val="uk-UA"/>
        </w:rPr>
        <w:t xml:space="preserve"> </w:t>
      </w:r>
      <w:r w:rsidR="00AC5777" w:rsidRPr="00C85FF6">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C85FF6">
        <w:rPr>
          <w:iCs/>
          <w:sz w:val="22"/>
          <w:lang w:val="uk-UA"/>
        </w:rPr>
        <w:t>.</w:t>
      </w:r>
    </w:p>
    <w:p w14:paraId="2FA6D1D1" w14:textId="143096E4" w:rsidR="009A04DF" w:rsidRPr="00C85FF6" w:rsidRDefault="009A04DF" w:rsidP="00AB1290">
      <w:pPr>
        <w:ind w:firstLine="709"/>
        <w:jc w:val="both"/>
        <w:rPr>
          <w:iCs/>
          <w:sz w:val="22"/>
          <w:lang w:val="uk-UA"/>
        </w:rPr>
      </w:pPr>
      <w:r w:rsidRPr="00C85FF6">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C85FF6" w:rsidRDefault="00AB1290" w:rsidP="00AB1290">
      <w:pPr>
        <w:ind w:firstLine="709"/>
        <w:jc w:val="both"/>
        <w:rPr>
          <w:iCs/>
          <w:sz w:val="22"/>
          <w:lang w:val="uk-UA"/>
        </w:rPr>
      </w:pPr>
      <w:r w:rsidRPr="00C85FF6">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C85FF6" w:rsidRDefault="009A43D2" w:rsidP="00BF0672">
      <w:pPr>
        <w:ind w:firstLine="709"/>
        <w:jc w:val="both"/>
        <w:rPr>
          <w:sz w:val="22"/>
          <w:lang w:val="uk-UA" w:eastAsia="ar-SA"/>
        </w:rPr>
      </w:pPr>
      <w:bookmarkStart w:id="14" w:name="_Hlk154152096"/>
    </w:p>
    <w:p w14:paraId="202EB17D" w14:textId="55B94B8B" w:rsidR="00F370A4" w:rsidRPr="00823A8A" w:rsidRDefault="00F370A4" w:rsidP="00BF0672">
      <w:pPr>
        <w:ind w:firstLine="709"/>
        <w:jc w:val="both"/>
        <w:rPr>
          <w:sz w:val="22"/>
          <w:lang w:val="uk-UA" w:eastAsia="ar-SA"/>
        </w:rPr>
      </w:pPr>
      <w:r w:rsidRPr="00C85FF6">
        <w:rPr>
          <w:sz w:val="22"/>
          <w:lang w:val="uk-UA" w:eastAsia="ar-SA"/>
        </w:rPr>
        <w:t xml:space="preserve">Дислокація навчальних </w:t>
      </w:r>
      <w:r w:rsidRPr="00823A8A">
        <w:rPr>
          <w:sz w:val="22"/>
          <w:lang w:val="uk-UA" w:eastAsia="ar-SA"/>
        </w:rPr>
        <w:t>закладів, у які здійснюється поставка:</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5"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p w14:paraId="2042920E" w14:textId="48A50BDA"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C85FF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657450DA" w:rsidR="00C85FF6" w:rsidRPr="00823A8A" w:rsidRDefault="00FD4F23" w:rsidP="00C85FF6">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p w14:paraId="4482D509" w14:textId="054CD632" w:rsidR="009A43D2" w:rsidRPr="00823A8A"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C85FF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E7192" w14:textId="40ADFC02" w:rsidR="00FC4AAF" w:rsidRPr="00823A8A" w:rsidRDefault="00FC4AAF" w:rsidP="00FC4AAF">
            <w:pPr>
              <w:jc w:val="center"/>
              <w:rPr>
                <w:bCs/>
                <w:sz w:val="22"/>
                <w:szCs w:val="22"/>
                <w:lang w:val="uk-UA"/>
              </w:rPr>
            </w:pPr>
            <w:r w:rsidRPr="00823A8A">
              <w:rPr>
                <w:bCs/>
                <w:sz w:val="22"/>
                <w:szCs w:val="22"/>
                <w:lang w:val="uk-UA"/>
              </w:rPr>
              <w:t>вул.</w:t>
            </w:r>
            <w:r w:rsidR="00EA7E66">
              <w:rPr>
                <w:bCs/>
                <w:sz w:val="22"/>
                <w:szCs w:val="22"/>
                <w:lang w:val="uk-UA"/>
              </w:rPr>
              <w:t xml:space="preserve"> </w:t>
            </w:r>
            <w:r w:rsidRPr="00823A8A">
              <w:rPr>
                <w:bCs/>
                <w:sz w:val="22"/>
                <w:szCs w:val="22"/>
                <w:lang w:val="uk-UA"/>
              </w:rPr>
              <w:t xml:space="preserve">Сержа Лифаря, 11-Б                           </w:t>
            </w:r>
          </w:p>
        </w:tc>
      </w:tr>
      <w:tr w:rsidR="00FC4AAF" w:rsidRPr="00823A8A" w14:paraId="66F3FA58"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8F1378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3CBB7499" w14:textId="77777777" w:rsidR="00EB438A" w:rsidRPr="00823A8A" w:rsidRDefault="00EB438A"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14"/>
    <w:bookmarkEnd w:id="15"/>
    <w:p w14:paraId="19786877" w14:textId="6F57C644" w:rsidR="00A536C6" w:rsidRPr="00C85FF6" w:rsidRDefault="00AF58D0" w:rsidP="00654034">
      <w:pPr>
        <w:ind w:firstLine="284"/>
        <w:jc w:val="both"/>
        <w:rPr>
          <w:i/>
          <w:sz w:val="16"/>
          <w:szCs w:val="16"/>
          <w:lang w:val="uk-UA"/>
        </w:rPr>
      </w:pPr>
      <w:r w:rsidRPr="00C85FF6">
        <w:rPr>
          <w:i/>
          <w:sz w:val="16"/>
          <w:szCs w:val="16"/>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B438A" w:rsidRDefault="00852733">
      <w:pPr>
        <w:spacing w:after="160" w:line="259" w:lineRule="auto"/>
        <w:rPr>
          <w:rFonts w:eastAsiaTheme="minorHAnsi"/>
          <w:b/>
          <w:bCs/>
          <w:sz w:val="18"/>
          <w:szCs w:val="18"/>
          <w:lang w:val="uk-UA" w:eastAsia="uk-UA"/>
        </w:rPr>
      </w:pPr>
      <w:r w:rsidRPr="00EB438A">
        <w:rPr>
          <w:b/>
          <w:bCs/>
          <w:sz w:val="18"/>
          <w:szCs w:val="18"/>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6"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6"/>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lastRenderedPageBreak/>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7"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7"/>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341404" w:rsidRPr="00823A8A"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8"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8"/>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lastRenderedPageBreak/>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r w:rsidR="00341404" w:rsidRPr="00392436"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Default="00341404" w:rsidP="002E08EC">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69244A" w:rsidRDefault="00341404"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2ED3AE16" w14:textId="77777777" w:rsidR="00171433" w:rsidRPr="00171433" w:rsidRDefault="00171433" w:rsidP="00171433">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171433" w:rsidRDefault="00171433" w:rsidP="00171433">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14:paraId="2EB3FFC8" w14:textId="3CDC048B" w:rsidR="00171433" w:rsidRPr="00171433" w:rsidRDefault="00171433" w:rsidP="00171433">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171433" w:rsidRDefault="00171433" w:rsidP="00171433">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171433" w:rsidRDefault="00171433" w:rsidP="00171433">
      <w:pPr>
        <w:ind w:firstLine="709"/>
        <w:jc w:val="both"/>
        <w:rPr>
          <w:iCs/>
          <w:sz w:val="18"/>
          <w:szCs w:val="18"/>
          <w:lang w:val="uk-UA"/>
        </w:rPr>
      </w:pPr>
      <w:r w:rsidRPr="00171433">
        <w:rPr>
          <w:iCs/>
          <w:sz w:val="18"/>
          <w:szCs w:val="18"/>
          <w:lang w:val="uk-UA"/>
        </w:rPr>
        <w:t xml:space="preserve">Надана продукція повинна відповідати по якості діючим стандартам. Якщо в місцях </w:t>
      </w:r>
      <w:proofErr w:type="spellStart"/>
      <w:r w:rsidRPr="00171433">
        <w:rPr>
          <w:iCs/>
          <w:sz w:val="18"/>
          <w:szCs w:val="18"/>
          <w:lang w:val="uk-UA"/>
        </w:rPr>
        <w:t>заготівель</w:t>
      </w:r>
      <w:proofErr w:type="spellEnd"/>
      <w:r w:rsidRPr="00171433">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171433" w:rsidRDefault="00171433" w:rsidP="00171433">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171433" w:rsidRDefault="00171433" w:rsidP="00171433">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171433" w:rsidRDefault="00171433" w:rsidP="00171433">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0A798C" w:rsidRDefault="00171433" w:rsidP="00171433">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301D5D4A" w:rsidR="00FB2D22" w:rsidRDefault="00FB2D22">
      <w:pPr>
        <w:spacing w:after="160" w:line="259" w:lineRule="auto"/>
        <w:rPr>
          <w:rFonts w:eastAsiaTheme="minorHAnsi"/>
          <w:b/>
          <w:bCs/>
          <w:lang w:val="uk-UA" w:eastAsia="uk-UA"/>
        </w:rPr>
      </w:pPr>
    </w:p>
    <w:p w14:paraId="71909EAC" w14:textId="54240E91" w:rsidR="00D50C74" w:rsidRDefault="00D50C74">
      <w:pPr>
        <w:spacing w:after="160" w:line="259" w:lineRule="auto"/>
        <w:rPr>
          <w:rFonts w:eastAsiaTheme="minorHAnsi"/>
          <w:b/>
          <w:bCs/>
          <w:lang w:val="uk-UA" w:eastAsia="uk-UA"/>
        </w:rPr>
      </w:pPr>
    </w:p>
    <w:p w14:paraId="064FA1AD" w14:textId="5B43B1F0" w:rsidR="00D50C74" w:rsidRDefault="00D50C74">
      <w:pPr>
        <w:spacing w:after="160" w:line="259" w:lineRule="auto"/>
        <w:rPr>
          <w:rFonts w:eastAsiaTheme="minorHAnsi"/>
          <w:b/>
          <w:bCs/>
          <w:lang w:val="uk-UA" w:eastAsia="uk-UA"/>
        </w:rPr>
      </w:pPr>
    </w:p>
    <w:p w14:paraId="4F0E36E7" w14:textId="77777777" w:rsidR="0075051F" w:rsidRPr="00823A8A" w:rsidRDefault="0075051F">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C85FF6" w:rsidRDefault="001E1155" w:rsidP="001E1155">
      <w:pPr>
        <w:ind w:firstLine="284"/>
        <w:jc w:val="both"/>
        <w:rPr>
          <w:sz w:val="22"/>
          <w:szCs w:val="22"/>
          <w:lang w:val="uk-UA"/>
        </w:rPr>
      </w:pPr>
      <w:r w:rsidRPr="00C85FF6">
        <w:rPr>
          <w:sz w:val="22"/>
          <w:szCs w:val="22"/>
          <w:lang w:val="uk-UA"/>
        </w:rPr>
        <w:t xml:space="preserve">1. </w:t>
      </w:r>
      <w:r w:rsidRPr="00C85FF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C85FF6" w:rsidRDefault="001E1155" w:rsidP="001E1155">
      <w:pPr>
        <w:ind w:firstLine="284"/>
        <w:jc w:val="both"/>
        <w:rPr>
          <w:sz w:val="22"/>
          <w:szCs w:val="22"/>
          <w:lang w:val="uk-UA"/>
        </w:rPr>
      </w:pPr>
      <w:r w:rsidRPr="00C85FF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C85FF6" w:rsidRDefault="0031385E" w:rsidP="0031385E">
      <w:pPr>
        <w:autoSpaceDN w:val="0"/>
        <w:ind w:firstLine="284"/>
        <w:jc w:val="both"/>
        <w:rPr>
          <w:sz w:val="22"/>
          <w:lang w:val="uk-UA"/>
        </w:rPr>
      </w:pPr>
      <w:r w:rsidRPr="00C85FF6">
        <w:rPr>
          <w:sz w:val="22"/>
          <w:lang w:val="uk-UA"/>
        </w:rPr>
        <w:t xml:space="preserve">1.1. </w:t>
      </w:r>
      <w:r w:rsidR="001E1155" w:rsidRPr="00C85FF6">
        <w:rPr>
          <w:sz w:val="22"/>
          <w:lang w:val="uk-UA"/>
        </w:rPr>
        <w:t>Довідку</w:t>
      </w:r>
      <w:r w:rsidR="005B16B7" w:rsidRPr="00C85FF6">
        <w:rPr>
          <w:sz w:val="22"/>
          <w:lang w:val="uk-UA"/>
        </w:rPr>
        <w:t>*</w:t>
      </w:r>
      <w:r w:rsidR="001E1155" w:rsidRPr="00C85FF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C85FF6" w:rsidRDefault="005B16B7" w:rsidP="0049402C">
      <w:pPr>
        <w:ind w:firstLine="284"/>
        <w:jc w:val="both"/>
        <w:rPr>
          <w:sz w:val="22"/>
          <w:lang w:val="uk-UA"/>
        </w:rPr>
      </w:pPr>
      <w:r w:rsidRPr="00C85FF6">
        <w:rPr>
          <w:sz w:val="22"/>
          <w:lang w:val="uk-UA"/>
        </w:rPr>
        <w:t>*</w:t>
      </w:r>
      <w:r w:rsidR="0031385E" w:rsidRPr="00C85FF6">
        <w:rPr>
          <w:sz w:val="22"/>
          <w:lang w:val="uk-UA"/>
        </w:rPr>
        <w:t xml:space="preserve">У випадку, якщо </w:t>
      </w:r>
      <w:r w:rsidR="0049402C" w:rsidRPr="00C85FF6">
        <w:rPr>
          <w:sz w:val="22"/>
          <w:lang w:val="uk-UA"/>
        </w:rPr>
        <w:t>товар, що є предметом закупівлі, передбачає особливий температурний режим зберігання ти транспортування</w:t>
      </w:r>
      <w:r w:rsidRPr="00C85FF6">
        <w:rPr>
          <w:sz w:val="22"/>
          <w:lang w:val="uk-UA"/>
        </w:rPr>
        <w:t xml:space="preserve"> (наприклад м’ясо, риба, молочні продукти, масло, яйця, морожені продукти)</w:t>
      </w:r>
      <w:r w:rsidR="0049402C" w:rsidRPr="00C85FF6">
        <w:rPr>
          <w:sz w:val="22"/>
          <w:lang w:val="uk-UA"/>
        </w:rPr>
        <w:t>,</w:t>
      </w:r>
      <w:r w:rsidRPr="00C85FF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C85FF6">
        <w:rPr>
          <w:sz w:val="22"/>
          <w:lang w:val="uk-UA"/>
        </w:rPr>
        <w:t xml:space="preserve"> та холодильного обладнання</w:t>
      </w:r>
      <w:r w:rsidRPr="00C85FF6">
        <w:rPr>
          <w:sz w:val="22"/>
          <w:lang w:val="uk-UA"/>
        </w:rPr>
        <w:t xml:space="preserve">, транспортних засобів) </w:t>
      </w:r>
      <w:r w:rsidR="00870F65" w:rsidRPr="00C85FF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C85FF6" w:rsidRDefault="001E1155" w:rsidP="001E1155">
      <w:pPr>
        <w:ind w:firstLine="284"/>
        <w:jc w:val="both"/>
        <w:rPr>
          <w:sz w:val="22"/>
          <w:lang w:val="uk-UA"/>
        </w:rPr>
      </w:pPr>
      <w:r w:rsidRPr="00C85FF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C85FF6" w:rsidRDefault="001E1155" w:rsidP="001E1155">
      <w:pPr>
        <w:ind w:firstLine="284"/>
        <w:jc w:val="both"/>
        <w:rPr>
          <w:sz w:val="22"/>
          <w:lang w:val="uk-UA"/>
        </w:rPr>
      </w:pPr>
      <w:r w:rsidRPr="00C85FF6">
        <w:rPr>
          <w:sz w:val="22"/>
          <w:lang w:val="uk-UA"/>
        </w:rPr>
        <w:t>1.2.1. у разі, якщо обладнання та матеріально-технічна база, приміщення є власними, надаються:</w:t>
      </w:r>
    </w:p>
    <w:p w14:paraId="76EAEE02" w14:textId="77777777" w:rsidR="001E1155" w:rsidRPr="00C85FF6" w:rsidRDefault="001E1155" w:rsidP="001E1155">
      <w:pPr>
        <w:ind w:firstLine="284"/>
        <w:jc w:val="both"/>
        <w:rPr>
          <w:sz w:val="22"/>
          <w:lang w:val="uk-UA"/>
        </w:rPr>
      </w:pPr>
      <w:r w:rsidRPr="00C85FF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C85FF6" w:rsidRDefault="001E1155" w:rsidP="001E1155">
      <w:pPr>
        <w:ind w:firstLine="284"/>
        <w:jc w:val="both"/>
        <w:rPr>
          <w:sz w:val="22"/>
          <w:lang w:val="uk-UA"/>
        </w:rPr>
      </w:pPr>
      <w:r w:rsidRPr="00C85FF6">
        <w:rPr>
          <w:sz w:val="22"/>
          <w:lang w:val="uk-UA"/>
        </w:rPr>
        <w:t>- для підтвердження наявності автомобілів – свідоцтва про реєстрацію транспортних засобів;</w:t>
      </w:r>
    </w:p>
    <w:p w14:paraId="46B50175" w14:textId="77777777" w:rsidR="001E1155" w:rsidRPr="00C85FF6" w:rsidRDefault="001E1155" w:rsidP="001E1155">
      <w:pPr>
        <w:ind w:firstLine="284"/>
        <w:jc w:val="both"/>
        <w:rPr>
          <w:sz w:val="22"/>
          <w:lang w:val="uk-UA"/>
        </w:rPr>
      </w:pPr>
      <w:r w:rsidRPr="00C85FF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C85FF6" w:rsidRDefault="001E1155" w:rsidP="001E1155">
      <w:pPr>
        <w:ind w:firstLine="284"/>
        <w:jc w:val="both"/>
        <w:rPr>
          <w:sz w:val="22"/>
          <w:lang w:val="uk-UA"/>
        </w:rPr>
      </w:pPr>
      <w:r w:rsidRPr="00C85FF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C85FF6" w:rsidRDefault="001E1155" w:rsidP="001E1155">
      <w:pPr>
        <w:ind w:firstLine="284"/>
        <w:jc w:val="both"/>
        <w:rPr>
          <w:sz w:val="22"/>
          <w:lang w:val="uk-UA"/>
        </w:rPr>
      </w:pPr>
      <w:r w:rsidRPr="00C85FF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C85FF6" w:rsidRDefault="001E1155" w:rsidP="001E1155">
      <w:pPr>
        <w:ind w:firstLine="284"/>
        <w:jc w:val="both"/>
        <w:rPr>
          <w:sz w:val="22"/>
          <w:lang w:val="uk-UA"/>
        </w:rPr>
      </w:pPr>
      <w:r w:rsidRPr="00C85FF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C85FF6" w:rsidRDefault="001E1155" w:rsidP="001E1155">
      <w:pPr>
        <w:ind w:firstLine="284"/>
        <w:jc w:val="both"/>
        <w:rPr>
          <w:sz w:val="22"/>
          <w:lang w:val="uk-UA"/>
        </w:rPr>
      </w:pPr>
      <w:r w:rsidRPr="00C85FF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C85FF6" w:rsidRDefault="001E1155" w:rsidP="001E1155">
      <w:pPr>
        <w:ind w:firstLine="284"/>
        <w:jc w:val="both"/>
        <w:rPr>
          <w:sz w:val="22"/>
          <w:lang w:val="uk-UA"/>
        </w:rPr>
      </w:pPr>
      <w:r w:rsidRPr="00C85FF6">
        <w:rPr>
          <w:sz w:val="22"/>
          <w:lang w:val="uk-UA"/>
        </w:rPr>
        <w:t>Договори мають бути чинні на день подання тендерної пропозиції.</w:t>
      </w:r>
    </w:p>
    <w:p w14:paraId="48D153B0" w14:textId="35D03716" w:rsidR="001E1155" w:rsidRPr="00C85FF6" w:rsidRDefault="001E1155" w:rsidP="001E1155">
      <w:pPr>
        <w:autoSpaceDN w:val="0"/>
        <w:ind w:firstLine="284"/>
        <w:jc w:val="both"/>
        <w:rPr>
          <w:sz w:val="22"/>
          <w:lang w:val="uk-UA"/>
        </w:rPr>
      </w:pPr>
      <w:r w:rsidRPr="00C85FF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C85FF6">
        <w:rPr>
          <w:sz w:val="22"/>
          <w:lang w:val="uk-UA"/>
        </w:rPr>
        <w:t>.</w:t>
      </w:r>
    </w:p>
    <w:p w14:paraId="218475E9" w14:textId="6C59AC54" w:rsidR="001E1155" w:rsidRPr="00C85FF6" w:rsidRDefault="001E1155" w:rsidP="001E1155">
      <w:pPr>
        <w:autoSpaceDN w:val="0"/>
        <w:ind w:firstLine="284"/>
        <w:jc w:val="both"/>
        <w:rPr>
          <w:sz w:val="22"/>
          <w:lang w:val="uk-UA"/>
        </w:rPr>
      </w:pPr>
      <w:r w:rsidRPr="00C85FF6">
        <w:rPr>
          <w:sz w:val="22"/>
          <w:lang w:val="uk-UA"/>
        </w:rPr>
        <w:t xml:space="preserve">1.4. Надати договір на проведення дезінфекції транспортних засобів, які зазначені у Довідці згідно </w:t>
      </w:r>
      <w:proofErr w:type="spellStart"/>
      <w:r w:rsidRPr="00C85FF6">
        <w:rPr>
          <w:sz w:val="22"/>
          <w:lang w:val="uk-UA"/>
        </w:rPr>
        <w:t>п.п</w:t>
      </w:r>
      <w:proofErr w:type="spellEnd"/>
      <w:r w:rsidRPr="00C85FF6">
        <w:rPr>
          <w:sz w:val="22"/>
          <w:lang w:val="uk-UA"/>
        </w:rPr>
        <w:t>. 1.1</w:t>
      </w:r>
      <w:r w:rsidR="00367E2A" w:rsidRPr="00C85FF6">
        <w:rPr>
          <w:sz w:val="22"/>
          <w:lang w:val="uk-UA"/>
        </w:rPr>
        <w:t xml:space="preserve">. </w:t>
      </w:r>
      <w:r w:rsidRPr="00C85FF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C85FF6">
        <w:rPr>
          <w:sz w:val="22"/>
          <w:lang w:val="uk-UA"/>
        </w:rPr>
        <w:t>.</w:t>
      </w:r>
    </w:p>
    <w:p w14:paraId="71AC1F7E" w14:textId="7955331E" w:rsidR="001E1155" w:rsidRPr="00C85FF6" w:rsidRDefault="001E1155" w:rsidP="001E1155">
      <w:pPr>
        <w:autoSpaceDN w:val="0"/>
        <w:ind w:firstLine="284"/>
        <w:jc w:val="both"/>
        <w:rPr>
          <w:sz w:val="22"/>
          <w:lang w:val="uk-UA"/>
        </w:rPr>
      </w:pPr>
      <w:r w:rsidRPr="00C85FF6">
        <w:rPr>
          <w:sz w:val="22"/>
          <w:lang w:val="uk-UA"/>
        </w:rPr>
        <w:t xml:space="preserve">1.5. Надати договір на мийку транспортних засобів, які зазначені у довідці згідно </w:t>
      </w:r>
      <w:proofErr w:type="spellStart"/>
      <w:r w:rsidRPr="00C85FF6">
        <w:rPr>
          <w:sz w:val="22"/>
          <w:lang w:val="uk-UA"/>
        </w:rPr>
        <w:t>п.п</w:t>
      </w:r>
      <w:proofErr w:type="spellEnd"/>
      <w:r w:rsidRPr="00C85FF6">
        <w:rPr>
          <w:sz w:val="22"/>
          <w:lang w:val="uk-UA"/>
        </w:rPr>
        <w:t>. 1.1</w:t>
      </w:r>
      <w:r w:rsidR="00367E2A" w:rsidRPr="00C85FF6">
        <w:rPr>
          <w:sz w:val="22"/>
          <w:lang w:val="uk-UA"/>
        </w:rPr>
        <w:t xml:space="preserve">. </w:t>
      </w:r>
      <w:r w:rsidRPr="00C85FF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C85FF6">
        <w:rPr>
          <w:sz w:val="22"/>
          <w:lang w:val="uk-UA"/>
        </w:rPr>
        <w:t xml:space="preserve">. </w:t>
      </w:r>
      <w:r w:rsidRPr="00C85FF6">
        <w:rPr>
          <w:sz w:val="22"/>
          <w:lang w:val="uk-UA"/>
        </w:rPr>
        <w:t xml:space="preserve"> </w:t>
      </w:r>
    </w:p>
    <w:p w14:paraId="422776B8" w14:textId="1E36C4AE" w:rsidR="00393ADB" w:rsidRPr="00C85FF6" w:rsidRDefault="001E1155" w:rsidP="00AE7226">
      <w:pPr>
        <w:autoSpaceDN w:val="0"/>
        <w:ind w:firstLine="284"/>
        <w:jc w:val="both"/>
        <w:rPr>
          <w:sz w:val="22"/>
          <w:lang w:val="uk-UA"/>
        </w:rPr>
      </w:pPr>
      <w:r w:rsidRPr="00C85FF6">
        <w:rPr>
          <w:sz w:val="22"/>
          <w:lang w:val="uk-UA"/>
        </w:rPr>
        <w:t>1.6. Надати протокол радіаційного контролю</w:t>
      </w:r>
      <w:r w:rsidR="00011BBE" w:rsidRPr="00C85FF6">
        <w:rPr>
          <w:sz w:val="22"/>
          <w:lang w:val="uk-UA"/>
        </w:rPr>
        <w:t xml:space="preserve"> або протокол щодо радіологічних вимірювань (або вимірювань джерел іонізуючого випромінювання) </w:t>
      </w:r>
      <w:r w:rsidRPr="00C85FF6">
        <w:rPr>
          <w:sz w:val="22"/>
          <w:lang w:val="uk-UA"/>
        </w:rPr>
        <w:t>транспортних засобів,</w:t>
      </w:r>
      <w:r w:rsidR="00011BBE" w:rsidRPr="00C85FF6">
        <w:rPr>
          <w:sz w:val="22"/>
          <w:lang w:val="uk-UA"/>
        </w:rPr>
        <w:t xml:space="preserve"> зазначених у довідці згідно </w:t>
      </w:r>
      <w:proofErr w:type="spellStart"/>
      <w:r w:rsidR="00011BBE" w:rsidRPr="00C85FF6">
        <w:rPr>
          <w:sz w:val="22"/>
          <w:lang w:val="uk-UA"/>
        </w:rPr>
        <w:t>п.п</w:t>
      </w:r>
      <w:proofErr w:type="spellEnd"/>
      <w:r w:rsidR="00011BBE" w:rsidRPr="00C85FF6">
        <w:rPr>
          <w:sz w:val="22"/>
          <w:lang w:val="uk-UA"/>
        </w:rPr>
        <w:t>. 1.1.,</w:t>
      </w:r>
      <w:r w:rsidRPr="00C85FF6">
        <w:rPr>
          <w:sz w:val="22"/>
          <w:lang w:val="uk-UA"/>
        </w:rPr>
        <w:t xml:space="preserve"> виданий не пізніше </w:t>
      </w:r>
      <w:r w:rsidR="00F9168A" w:rsidRPr="00C85FF6">
        <w:rPr>
          <w:sz w:val="22"/>
          <w:lang w:val="uk-UA"/>
        </w:rPr>
        <w:t>шестимі</w:t>
      </w:r>
      <w:r w:rsidRPr="00C85FF6">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C85FF6" w:rsidRDefault="001E1155" w:rsidP="001E1155">
      <w:pPr>
        <w:ind w:firstLine="284"/>
        <w:jc w:val="both"/>
        <w:rPr>
          <w:b/>
          <w:bCs/>
          <w:i/>
          <w:iCs/>
          <w:sz w:val="22"/>
          <w:szCs w:val="22"/>
          <w:lang w:val="uk-UA"/>
        </w:rPr>
      </w:pPr>
      <w:r w:rsidRPr="00C85FF6">
        <w:rPr>
          <w:sz w:val="22"/>
          <w:szCs w:val="22"/>
          <w:lang w:val="uk-UA"/>
        </w:rPr>
        <w:t xml:space="preserve">2. </w:t>
      </w:r>
      <w:r w:rsidRPr="00C85FF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C85FF6" w:rsidRDefault="001E1155" w:rsidP="001E1155">
      <w:pPr>
        <w:ind w:firstLine="284"/>
        <w:jc w:val="both"/>
        <w:rPr>
          <w:sz w:val="22"/>
          <w:szCs w:val="22"/>
          <w:lang w:val="uk-UA"/>
        </w:rPr>
      </w:pPr>
      <w:r w:rsidRPr="00C85FF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C85FF6" w:rsidRDefault="001E1155" w:rsidP="001E1155">
      <w:pPr>
        <w:ind w:firstLine="284"/>
        <w:jc w:val="both"/>
        <w:rPr>
          <w:sz w:val="22"/>
          <w:szCs w:val="22"/>
          <w:lang w:val="uk-UA"/>
        </w:rPr>
      </w:pPr>
      <w:r w:rsidRPr="00C85FF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C85FF6" w:rsidRDefault="001E1155" w:rsidP="001E1155">
      <w:pPr>
        <w:ind w:firstLine="284"/>
        <w:jc w:val="both"/>
        <w:rPr>
          <w:sz w:val="22"/>
          <w:szCs w:val="22"/>
          <w:lang w:val="uk-UA"/>
        </w:rPr>
      </w:pPr>
      <w:r w:rsidRPr="00C85FF6">
        <w:rPr>
          <w:sz w:val="22"/>
          <w:szCs w:val="22"/>
          <w:lang w:val="uk-UA"/>
        </w:rPr>
        <w:lastRenderedPageBreak/>
        <w:t xml:space="preserve">2.2. На підтвердження наявності в учасника зазначених у Довідці згідно </w:t>
      </w:r>
      <w:proofErr w:type="spellStart"/>
      <w:r w:rsidRPr="00C85FF6">
        <w:rPr>
          <w:sz w:val="22"/>
          <w:szCs w:val="22"/>
          <w:lang w:val="uk-UA"/>
        </w:rPr>
        <w:t>п.п</w:t>
      </w:r>
      <w:proofErr w:type="spellEnd"/>
      <w:r w:rsidRPr="00C85FF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C85FF6" w:rsidRDefault="001E1155" w:rsidP="001E1155">
      <w:pPr>
        <w:ind w:firstLine="284"/>
        <w:jc w:val="both"/>
        <w:rPr>
          <w:sz w:val="22"/>
          <w:szCs w:val="22"/>
          <w:lang w:val="uk-UA"/>
        </w:rPr>
      </w:pPr>
      <w:r w:rsidRPr="00C85FF6">
        <w:rPr>
          <w:sz w:val="22"/>
          <w:szCs w:val="22"/>
          <w:lang w:val="uk-UA"/>
        </w:rPr>
        <w:t xml:space="preserve">2.3.  Щодо усіх водіїв, зазначених у Довідці згідно </w:t>
      </w:r>
      <w:proofErr w:type="spellStart"/>
      <w:r w:rsidRPr="00C85FF6">
        <w:rPr>
          <w:sz w:val="22"/>
          <w:szCs w:val="22"/>
          <w:lang w:val="uk-UA"/>
        </w:rPr>
        <w:t>п.п</w:t>
      </w:r>
      <w:proofErr w:type="spellEnd"/>
      <w:r w:rsidRPr="00C85FF6">
        <w:rPr>
          <w:sz w:val="22"/>
          <w:szCs w:val="22"/>
          <w:lang w:val="uk-UA"/>
        </w:rPr>
        <w:t>. 2.1., учасник у складі тендерної пропозиції надає посвідчення водія.</w:t>
      </w:r>
    </w:p>
    <w:p w14:paraId="177EC6D8" w14:textId="77777777" w:rsidR="001E1155" w:rsidRPr="00C85FF6" w:rsidRDefault="001E1155" w:rsidP="001E1155">
      <w:pPr>
        <w:ind w:firstLine="284"/>
        <w:jc w:val="both"/>
        <w:rPr>
          <w:sz w:val="22"/>
          <w:szCs w:val="22"/>
          <w:lang w:val="uk-UA"/>
        </w:rPr>
      </w:pPr>
      <w:r w:rsidRPr="00C85FF6">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C85FF6">
        <w:rPr>
          <w:sz w:val="22"/>
          <w:szCs w:val="22"/>
          <w:lang w:val="uk-UA"/>
        </w:rPr>
        <w:t>п.п</w:t>
      </w:r>
      <w:proofErr w:type="spellEnd"/>
      <w:r w:rsidRPr="00C85FF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C85FF6" w:rsidRDefault="001E1155" w:rsidP="001E1155">
      <w:pPr>
        <w:ind w:firstLine="284"/>
        <w:jc w:val="both"/>
        <w:rPr>
          <w:sz w:val="22"/>
          <w:szCs w:val="22"/>
          <w:lang w:val="uk-UA"/>
        </w:rPr>
      </w:pPr>
      <w:r w:rsidRPr="00C85FF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C85FF6" w:rsidRDefault="001E1155" w:rsidP="001E1155">
      <w:pPr>
        <w:ind w:firstLine="284"/>
        <w:jc w:val="both"/>
        <w:rPr>
          <w:sz w:val="22"/>
          <w:szCs w:val="22"/>
          <w:lang w:val="uk-UA"/>
        </w:rPr>
      </w:pPr>
      <w:r w:rsidRPr="00C85FF6">
        <w:rPr>
          <w:sz w:val="22"/>
          <w:szCs w:val="22"/>
          <w:lang w:val="uk-UA"/>
        </w:rPr>
        <w:t xml:space="preserve">3. </w:t>
      </w:r>
      <w:r w:rsidRPr="00C85FF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C85FF6" w:rsidRDefault="001E1155" w:rsidP="001E1155">
      <w:pPr>
        <w:ind w:firstLine="284"/>
        <w:jc w:val="both"/>
        <w:rPr>
          <w:sz w:val="22"/>
          <w:szCs w:val="22"/>
          <w:lang w:val="uk-UA"/>
        </w:rPr>
      </w:pPr>
      <w:r w:rsidRPr="00C85FF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C85FF6" w:rsidRDefault="001E1155" w:rsidP="001E1155">
      <w:pPr>
        <w:ind w:firstLine="284"/>
        <w:jc w:val="both"/>
        <w:rPr>
          <w:sz w:val="22"/>
          <w:szCs w:val="22"/>
          <w:lang w:val="uk-UA"/>
        </w:rPr>
      </w:pPr>
      <w:r w:rsidRPr="00C85FF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C85FF6" w:rsidRDefault="001E1155" w:rsidP="001E1155">
      <w:pPr>
        <w:ind w:firstLine="284"/>
        <w:jc w:val="both"/>
        <w:rPr>
          <w:sz w:val="22"/>
          <w:szCs w:val="22"/>
          <w:lang w:val="uk-UA"/>
        </w:rPr>
      </w:pPr>
      <w:r w:rsidRPr="00C85FF6">
        <w:rPr>
          <w:sz w:val="22"/>
          <w:szCs w:val="22"/>
          <w:lang w:val="uk-UA"/>
        </w:rPr>
        <w:t>3.2. Договір, зазначений в довідці.</w:t>
      </w:r>
    </w:p>
    <w:p w14:paraId="7E14879C" w14:textId="0C7CA176" w:rsidR="001E1155" w:rsidRPr="00C85FF6" w:rsidRDefault="001E1155" w:rsidP="001E1155">
      <w:pPr>
        <w:ind w:firstLine="284"/>
        <w:jc w:val="both"/>
        <w:rPr>
          <w:sz w:val="22"/>
          <w:szCs w:val="22"/>
          <w:lang w:val="uk-UA"/>
        </w:rPr>
      </w:pPr>
      <w:r w:rsidRPr="00C85FF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C85FF6">
        <w:rPr>
          <w:sz w:val="22"/>
          <w:szCs w:val="22"/>
          <w:lang w:val="uk-UA"/>
        </w:rPr>
        <w:t>, або лист-відгук від контрагента</w:t>
      </w:r>
      <w:r w:rsidRPr="00C85FF6">
        <w:rPr>
          <w:sz w:val="22"/>
          <w:szCs w:val="22"/>
          <w:lang w:val="uk-UA"/>
        </w:rPr>
        <w:t xml:space="preserve">. </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C85FF6">
      <w:footerReference w:type="default" r:id="rId12"/>
      <w:pgSz w:w="11906" w:h="16838"/>
      <w:pgMar w:top="851"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693C" w14:textId="77777777" w:rsidR="00A250AB" w:rsidRDefault="00A250AB" w:rsidP="00D505E4">
      <w:r>
        <w:separator/>
      </w:r>
    </w:p>
  </w:endnote>
  <w:endnote w:type="continuationSeparator" w:id="0">
    <w:p w14:paraId="3A32F540" w14:textId="77777777" w:rsidR="00A250AB" w:rsidRDefault="00A250A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EC6284" w:rsidRPr="00CE1326" w:rsidRDefault="00EC628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EC6284" w:rsidRDefault="00EC62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E660" w14:textId="77777777" w:rsidR="00A250AB" w:rsidRDefault="00A250AB" w:rsidP="00D505E4">
      <w:r>
        <w:separator/>
      </w:r>
    </w:p>
  </w:footnote>
  <w:footnote w:type="continuationSeparator" w:id="0">
    <w:p w14:paraId="5515E180" w14:textId="77777777" w:rsidR="00A250AB" w:rsidRDefault="00A250AB"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4ED6"/>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80E"/>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8DB"/>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051F"/>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4411"/>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2FCC"/>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0A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5FF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6C53"/>
    <w:rsid w:val="00C97677"/>
    <w:rsid w:val="00CA0391"/>
    <w:rsid w:val="00CA0722"/>
    <w:rsid w:val="00CA3AC7"/>
    <w:rsid w:val="00CA4BDD"/>
    <w:rsid w:val="00CA4D9C"/>
    <w:rsid w:val="00CA63F4"/>
    <w:rsid w:val="00CA70ED"/>
    <w:rsid w:val="00CA74C7"/>
    <w:rsid w:val="00CA78BC"/>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A7E66"/>
    <w:rsid w:val="00EB116B"/>
    <w:rsid w:val="00EB329C"/>
    <w:rsid w:val="00EB438A"/>
    <w:rsid w:val="00EB58DC"/>
    <w:rsid w:val="00EC01E4"/>
    <w:rsid w:val="00EC0439"/>
    <w:rsid w:val="00EC0799"/>
    <w:rsid w:val="00EC1D55"/>
    <w:rsid w:val="00EC3226"/>
    <w:rsid w:val="00EC6284"/>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452F282-AE82-4DED-8FCD-1F5E6A0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805D-6A37-461B-BB8A-CF8408F9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49</Pages>
  <Words>24661</Words>
  <Characters>140572</Characters>
  <Application>Microsoft Office Word</Application>
  <DocSecurity>0</DocSecurity>
  <Lines>1171</Lines>
  <Paragraphs>329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137</cp:revision>
  <cp:lastPrinted>2023-03-09T13:29:00Z</cp:lastPrinted>
  <dcterms:created xsi:type="dcterms:W3CDTF">2023-02-28T11:53:00Z</dcterms:created>
  <dcterms:modified xsi:type="dcterms:W3CDTF">2024-02-05T11:42:00Z</dcterms:modified>
</cp:coreProperties>
</file>