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1A733552"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beforeAutospacing="0" w:afterAutospacing="0"/>
        <w:jc w:val="center"/>
        <w:rPr>
          <w:rFonts w:ascii="Times New Roman" w:hAnsi="Times New Roman"/>
          <w:sz w:val="24"/>
        </w:rPr>
      </w:pPr>
      <w:r>
        <w:rPr>
          <w:rFonts w:ascii="Times New Roman" w:hAnsi="Times New Roman"/>
          <w:b w:val="1"/>
          <w:sz w:val="24"/>
        </w:rPr>
        <w:t>ЗАКАРПАТСЬКА РЕГІОНАЛЬНА ДЕРЖАВНА ЛАБОРАТОРІЯ ДЕРЖПРОДСПОЖИВСЛУЖБИ</w:t>
      </w:r>
    </w:p>
    <w:p>
      <w:pPr>
        <w:spacing w:lineRule="auto" w:line="240" w:after="240" w:beforeAutospacing="0" w:afterAutospacing="0"/>
        <w:rPr>
          <w:rFonts w:ascii="Times New Roman" w:hAnsi="Times New Roman"/>
          <w:sz w:val="24"/>
        </w:rPr>
      </w:pPr>
    </w:p>
    <w:p>
      <w:pPr>
        <w:spacing w:lineRule="auto" w:line="240" w:after="240" w:beforeAutospacing="0" w:afterAutospacing="0"/>
        <w:rPr>
          <w:rFonts w:ascii="Times New Roman" w:hAnsi="Times New Roman"/>
          <w:sz w:val="24"/>
        </w:rPr>
      </w:pPr>
    </w:p>
    <w:tbl>
      <w:tblPr>
        <w:tblW w:w="0" w:type="auto"/>
        <w:jc w:val="right"/>
        <w:tblCellSpacing w:w="0" w:type="dxa"/>
        <w:tblCellMar>
          <w:left w:w="0" w:type="dxa"/>
          <w:right w:w="0" w:type="dxa"/>
        </w:tblCellMar>
        <w:tblLook w:val="04A0"/>
      </w:tblPr>
      <w:tblGrid/>
      <w:tr>
        <w:trPr>
          <w:trHeight w:hRule="atLeast" w:val="1161"/>
          <w:tblCellSpacing w:w="0" w:type="dxa"/>
          <w:jc w:val="right"/>
        </w:trPr>
        <w:tc>
          <w:tcPr>
            <w:tcW w:w="5762" w:type="dxa"/>
            <w:tcMar>
              <w:top w:w="0" w:type="dxa"/>
              <w:left w:w="108" w:type="dxa"/>
              <w:bottom w:w="0" w:type="dxa"/>
              <w:right w:w="108" w:type="dxa"/>
            </w:tcMar>
            <w:vAlign w:val="center"/>
          </w:tcPr>
          <w:p>
            <w:pPr>
              <w:pStyle w:val="P13"/>
              <w:jc w:val="right"/>
              <w:rPr>
                <w:rFonts w:ascii="Times New Roman" w:hAnsi="Times New Roman"/>
                <w:b w:val="1"/>
                <w:sz w:val="24"/>
              </w:rPr>
            </w:pPr>
            <w:r>
              <w:rPr>
                <w:rFonts w:ascii="Times New Roman" w:hAnsi="Times New Roman"/>
                <w:b w:val="1"/>
                <w:sz w:val="24"/>
              </w:rPr>
              <w:t>ЗАТВЕРДЖЕНО</w:t>
            </w:r>
          </w:p>
          <w:p>
            <w:pPr>
              <w:pStyle w:val="P13"/>
              <w:jc w:val="right"/>
              <w:rPr>
                <w:rFonts w:ascii="Times New Roman" w:hAnsi="Times New Roman"/>
                <w:b w:val="1"/>
                <w:sz w:val="24"/>
              </w:rPr>
            </w:pPr>
            <w:r>
              <w:rPr>
                <w:rFonts w:ascii="Times New Roman" w:hAnsi="Times New Roman"/>
                <w:b w:val="1"/>
                <w:sz w:val="24"/>
              </w:rPr>
              <w:t xml:space="preserve">рішенням </w:t>
            </w:r>
          </w:p>
          <w:p>
            <w:pPr>
              <w:pStyle w:val="P13"/>
              <w:jc w:val="right"/>
              <w:rPr>
                <w:rFonts w:ascii="Times New Roman" w:hAnsi="Times New Roman"/>
                <w:b w:val="1"/>
                <w:sz w:val="24"/>
              </w:rPr>
            </w:pPr>
            <w:r>
              <w:rPr>
                <w:rFonts w:ascii="Times New Roman" w:hAnsi="Times New Roman"/>
                <w:b w:val="1"/>
                <w:sz w:val="24"/>
              </w:rPr>
              <w:t xml:space="preserve">Уповноваженої особи </w:t>
            </w:r>
          </w:p>
          <w:p>
            <w:pPr>
              <w:pStyle w:val="P13"/>
              <w:jc w:val="right"/>
              <w:rPr>
                <w:rFonts w:ascii="Times New Roman" w:hAnsi="Times New Roman"/>
                <w:b w:val="1"/>
                <w:sz w:val="24"/>
              </w:rPr>
            </w:pPr>
            <w:r>
              <w:rPr>
                <w:rFonts w:ascii="Times New Roman" w:hAnsi="Times New Roman"/>
                <w:b w:val="1"/>
                <w:sz w:val="24"/>
              </w:rPr>
              <w:t xml:space="preserve">Від </w:t>
            </w:r>
            <w:r>
              <w:rPr>
                <w:rFonts w:ascii="Times New Roman" w:hAnsi="Times New Roman"/>
                <w:b w:val="1"/>
                <w:color w:val="auto"/>
                <w:sz w:val="24"/>
              </w:rPr>
              <w:t>30</w:t>
            </w:r>
            <w:r>
              <w:rPr>
                <w:rFonts w:ascii="Times New Roman" w:hAnsi="Times New Roman"/>
                <w:b w:val="1"/>
                <w:sz w:val="24"/>
              </w:rPr>
              <w:t>.08.2023 року</w:t>
            </w:r>
          </w:p>
          <w:p>
            <w:pPr>
              <w:pStyle w:val="P13"/>
              <w:jc w:val="right"/>
              <w:rPr>
                <w:rFonts w:ascii="Times New Roman" w:hAnsi="Times New Roman"/>
                <w:b w:val="1"/>
                <w:sz w:val="24"/>
              </w:rPr>
            </w:pPr>
          </w:p>
          <w:p>
            <w:pPr>
              <w:pStyle w:val="P13"/>
              <w:jc w:val="right"/>
            </w:pPr>
            <w:r>
              <w:rPr>
                <w:rFonts w:ascii="Times New Roman" w:hAnsi="Times New Roman"/>
                <w:b w:val="1"/>
                <w:sz w:val="24"/>
              </w:rPr>
              <w:t>__________________________Євген ДРАГОЄВ</w:t>
            </w:r>
          </w:p>
        </w:tc>
      </w:tr>
    </w:tbl>
    <w:p>
      <w:pPr>
        <w:spacing w:lineRule="auto" w:line="240" w:after="0" w:beforeAutospacing="0" w:afterAutospacing="0"/>
        <w:ind w:firstLine="6946"/>
        <w:rPr>
          <w:rFonts w:ascii="Times New Roman" w:hAnsi="Times New Roman"/>
          <w:sz w:val="24"/>
        </w:rPr>
      </w:pPr>
    </w:p>
    <w:p>
      <w:pPr>
        <w:spacing w:lineRule="auto" w:line="240" w:after="240" w:beforeAutospacing="0" w:afterAutospacing="0"/>
        <w:rPr>
          <w:rFonts w:ascii="Times New Roman" w:hAnsi="Times New Roman"/>
          <w:sz w:val="24"/>
        </w:rPr>
      </w:pPr>
      <w:r>
        <w:rPr>
          <w:rFonts w:ascii="Times New Roman" w:hAnsi="Times New Roman"/>
          <w:sz w:val="24"/>
        </w:rPr>
        <w:br w:type="textWrapping"/>
        <w:br w:type="textWrapping"/>
        <w:br w:type="textWrapping"/>
        <w:br w:type="textWrapping"/>
      </w:r>
    </w:p>
    <w:p>
      <w:pPr>
        <w:spacing w:lineRule="auto" w:line="240" w:before="280" w:after="280" w:beforeAutospacing="0" w:afterAutospacing="0"/>
        <w:jc w:val="center"/>
        <w:rPr>
          <w:rFonts w:ascii="Times New Roman" w:hAnsi="Times New Roman"/>
          <w:i w:val="1"/>
          <w:sz w:val="24"/>
        </w:rPr>
      </w:pPr>
      <w:r>
        <w:rPr>
          <w:rFonts w:ascii="Times New Roman" w:hAnsi="Times New Roman"/>
          <w:b w:val="1"/>
          <w:sz w:val="24"/>
        </w:rPr>
        <w:t>ТЕНДЕРНА ДОКУМЕНТАЦІЯ</w:t>
      </w:r>
    </w:p>
    <w:p>
      <w:pPr>
        <w:spacing w:lineRule="auto" w:line="240" w:after="0" w:beforeAutospacing="0" w:afterAutospacing="0"/>
        <w:jc w:val="center"/>
        <w:rPr>
          <w:rFonts w:ascii="Times New Roman" w:hAnsi="Times New Roman"/>
          <w:b w:val="1"/>
          <w:sz w:val="24"/>
        </w:rPr>
      </w:pPr>
      <w:r>
        <w:rPr>
          <w:rFonts w:ascii="Times New Roman" w:hAnsi="Times New Roman"/>
          <w:b w:val="1"/>
          <w:i w:val="1"/>
          <w:sz w:val="24"/>
        </w:rPr>
        <w:t>процедура закупівлі - відкриті торги з особливостями</w:t>
      </w:r>
    </w:p>
    <w:p>
      <w:pPr>
        <w:spacing w:lineRule="auto" w:line="240" w:after="0" w:beforeAutospacing="0" w:afterAutospacing="0"/>
        <w:jc w:val="center"/>
        <w:rPr>
          <w:rFonts w:ascii="Times New Roman" w:hAnsi="Times New Roman"/>
          <w:b w:val="1"/>
          <w:sz w:val="24"/>
        </w:rPr>
      </w:pPr>
    </w:p>
    <w:p>
      <w:pPr>
        <w:pStyle w:val="P13"/>
        <w:jc w:val="center"/>
        <w:rPr>
          <w:rFonts w:ascii="Times New Roman" w:hAnsi="Times New Roman"/>
          <w:b w:val="1"/>
          <w:color w:val="auto"/>
          <w:sz w:val="24"/>
        </w:rPr>
      </w:pPr>
      <w:r>
        <w:rPr>
          <w:rFonts w:ascii="Times New Roman" w:hAnsi="Times New Roman"/>
          <w:b w:val="1"/>
          <w:sz w:val="24"/>
        </w:rPr>
        <w:t xml:space="preserve">Предмет закупівлі: </w:t>
      </w:r>
      <w:r>
        <w:rPr>
          <w:rFonts w:ascii="Times New Roman" w:hAnsi="Times New Roman"/>
          <w:b w:val="1"/>
          <w:color w:val="auto"/>
          <w:sz w:val="24"/>
        </w:rPr>
        <w:t>Апарати для дистилювання, фільтрування чи ректифікації</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center"/>
        <w:rPr>
          <w:rFonts w:ascii="Times New Roman" w:hAnsi="Times New Roman"/>
          <w:b w:val="1"/>
          <w:color w:val="000000"/>
          <w:sz w:val="24"/>
        </w:rPr>
      </w:pPr>
      <w:r>
        <w:rPr>
          <w:rFonts w:ascii="Times New Roman" w:hAnsi="Times New Roman"/>
          <w:b w:val="1"/>
          <w:color w:val="auto"/>
          <w:sz w:val="24"/>
        </w:rPr>
        <w:t xml:space="preserve">ДК 021:2015: 42910000-8  Апарати для дистилювання, фільтрування чи ректифікації</w:t>
      </w:r>
    </w:p>
    <w:p>
      <w:pPr>
        <w:spacing w:lineRule="auto" w:line="240" w:after="0" w:beforeAutospacing="0" w:afterAutospacing="0"/>
        <w:rPr>
          <w:rFonts w:ascii="Times New Roman" w:hAnsi="Times New Roman"/>
          <w:sz w:val="24"/>
        </w:rPr>
      </w:pPr>
    </w:p>
    <w:p>
      <w:pPr>
        <w:spacing w:lineRule="auto" w:line="240" w:after="240" w:beforeAutospacing="0" w:afterAutospacing="0"/>
        <w:rPr>
          <w:rFonts w:ascii="Times New Roman" w:hAnsi="Times New Roman"/>
          <w:sz w:val="24"/>
        </w:rPr>
      </w:pPr>
      <w:r>
        <w:rPr>
          <w:rFonts w:ascii="Times New Roman" w:hAnsi="Times New Roman"/>
          <w:sz w:val="24"/>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pPr>
        <w:spacing w:lineRule="auto" w:line="240" w:after="0" w:beforeAutospacing="0" w:afterAutospacing="0"/>
        <w:jc w:val="center"/>
        <w:rPr>
          <w:rFonts w:ascii="Times New Roman" w:hAnsi="Times New Roman"/>
          <w:sz w:val="24"/>
        </w:rPr>
      </w:pPr>
      <w:r>
        <w:rPr>
          <w:rFonts w:ascii="Times New Roman" w:hAnsi="Times New Roman"/>
          <w:b w:val="1"/>
          <w:sz w:val="24"/>
        </w:rPr>
        <w:t>м. Ужгород</w:t>
      </w:r>
    </w:p>
    <w:p>
      <w:pPr>
        <w:spacing w:lineRule="auto" w:line="240" w:after="0" w:beforeAutospacing="0" w:afterAutospacing="0"/>
        <w:jc w:val="center"/>
        <w:rPr>
          <w:rFonts w:ascii="Times New Roman" w:hAnsi="Times New Roman"/>
          <w:sz w:val="24"/>
        </w:rPr>
      </w:pPr>
      <w:r>
        <w:rPr>
          <w:rFonts w:ascii="Times New Roman" w:hAnsi="Times New Roman"/>
          <w:b w:val="1"/>
          <w:sz w:val="24"/>
        </w:rPr>
        <w:t>2023 рік</w:t>
      </w:r>
    </w:p>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sz w:val="24"/>
        </w:rPr>
      </w:pPr>
      <w:r>
        <w:rPr>
          <w:rFonts w:ascii="Times New Roman" w:hAnsi="Times New Roman"/>
          <w:b w:val="1"/>
          <w:sz w:val="24"/>
        </w:rPr>
        <w:br w:type="textWrapping"/>
        <w:t>ЗМІСТ</w:t>
      </w:r>
    </w:p>
    <w:p>
      <w:pPr>
        <w:spacing w:lineRule="auto" w:line="240" w:after="240" w:beforeAutospacing="0" w:afterAutospacing="0"/>
        <w:rPr>
          <w:rFonts w:ascii="Times New Roman" w:hAnsi="Times New Roman"/>
          <w:sz w:val="24"/>
        </w:rPr>
      </w:pPr>
    </w:p>
    <w:tbl>
      <w:tblPr>
        <w:tblStyle w:val="T3"/>
        <w:tblW w:w="9390" w:type="dxa"/>
        <w:tblInd w:w="0" w:type="dxa"/>
        <w:tblLayout w:type="fixed"/>
        <w:tblLook w:val="0400"/>
      </w:tblPr>
      <w:tblGrid/>
      <w:tr>
        <w:tc>
          <w:tcPr>
            <w:tcW w:w="125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Розділ І.</w:t>
            </w:r>
          </w:p>
        </w:tc>
        <w:tc>
          <w:tcPr>
            <w:tcW w:w="7662"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Загальні положення</w:t>
            </w:r>
          </w:p>
          <w:p>
            <w:pPr>
              <w:spacing w:lineRule="auto" w:line="240" w:after="0" w:beforeAutospacing="0" w:afterAutospacing="0"/>
              <w:rPr>
                <w:rFonts w:ascii="Times New Roman" w:hAnsi="Times New Roman"/>
                <w:sz w:val="24"/>
              </w:rPr>
            </w:pP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r>
      <w:tr>
        <w:tc>
          <w:tcPr>
            <w:tcW w:w="125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Розділ ІІ. </w:t>
            </w:r>
          </w:p>
          <w:p>
            <w:pPr>
              <w:spacing w:lineRule="auto" w:line="240" w:after="0" w:beforeAutospacing="0" w:afterAutospacing="0"/>
              <w:rPr>
                <w:rFonts w:ascii="Times New Roman" w:hAnsi="Times New Roman"/>
                <w:sz w:val="24"/>
              </w:rPr>
            </w:pPr>
          </w:p>
        </w:tc>
        <w:tc>
          <w:tcPr>
            <w:tcW w:w="7662"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Порядок унесення змін та надання роз’яснень до тендерної документації</w:t>
            </w: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r>
      <w:tr>
        <w:tc>
          <w:tcPr>
            <w:tcW w:w="125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Розділ ІІІ.</w:t>
            </w:r>
          </w:p>
        </w:tc>
        <w:tc>
          <w:tcPr>
            <w:tcW w:w="7662"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Інструкція з підготовки тендерної пропозиції</w:t>
            </w:r>
          </w:p>
          <w:p>
            <w:pPr>
              <w:spacing w:lineRule="auto" w:line="240" w:after="0" w:beforeAutospacing="0" w:afterAutospacing="0"/>
              <w:rPr>
                <w:rFonts w:ascii="Times New Roman" w:hAnsi="Times New Roman"/>
                <w:sz w:val="24"/>
              </w:rPr>
            </w:pP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r>
      <w:tr>
        <w:tc>
          <w:tcPr>
            <w:tcW w:w="125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Розділ ІV.</w:t>
            </w:r>
          </w:p>
        </w:tc>
        <w:tc>
          <w:tcPr>
            <w:tcW w:w="7662"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Подання та розкриття тендерної пропозиції</w:t>
            </w:r>
          </w:p>
          <w:p>
            <w:pPr>
              <w:spacing w:lineRule="auto" w:line="240" w:after="0" w:beforeAutospacing="0" w:afterAutospacing="0"/>
              <w:rPr>
                <w:rFonts w:ascii="Times New Roman" w:hAnsi="Times New Roman"/>
                <w:sz w:val="24"/>
              </w:rPr>
            </w:pP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r>
      <w:tr>
        <w:tc>
          <w:tcPr>
            <w:tcW w:w="125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Розділ V.</w:t>
            </w:r>
          </w:p>
        </w:tc>
        <w:tc>
          <w:tcPr>
            <w:tcW w:w="7662"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Оцінка тендерної пропозиції</w:t>
            </w:r>
          </w:p>
          <w:p>
            <w:pPr>
              <w:spacing w:lineRule="auto" w:line="240" w:after="0" w:beforeAutospacing="0" w:afterAutospacing="0"/>
              <w:rPr>
                <w:rFonts w:ascii="Times New Roman" w:hAnsi="Times New Roman"/>
                <w:sz w:val="24"/>
              </w:rPr>
            </w:pP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r>
      <w:tr>
        <w:trPr>
          <w:trHeight w:hRule="atLeast" w:val="1209"/>
        </w:trPr>
        <w:tc>
          <w:tcPr>
            <w:tcW w:w="125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Розділ VІ.</w:t>
            </w:r>
          </w:p>
        </w:tc>
        <w:tc>
          <w:tcPr>
            <w:tcW w:w="7662"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Результати торгів та укладання договору про закупівлю</w:t>
            </w:r>
          </w:p>
          <w:p>
            <w:pPr>
              <w:spacing w:lineRule="auto" w:line="240" w:after="0" w:beforeAutospacing="0" w:afterAutospacing="0"/>
              <w:rPr>
                <w:rFonts w:ascii="Times New Roman" w:hAnsi="Times New Roman"/>
                <w:sz w:val="24"/>
              </w:rPr>
            </w:pP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r>
      <w:tr>
        <w:tc>
          <w:tcPr>
            <w:tcW w:w="125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Додатки* </w:t>
            </w:r>
          </w:p>
          <w:p>
            <w:pPr>
              <w:spacing w:lineRule="auto" w:line="240" w:after="0" w:beforeAutospacing="0" w:afterAutospacing="0"/>
              <w:rPr>
                <w:rFonts w:ascii="Times New Roman" w:hAnsi="Times New Roman"/>
                <w:sz w:val="24"/>
              </w:rPr>
            </w:pPr>
          </w:p>
        </w:tc>
        <w:tc>
          <w:tcPr>
            <w:tcW w:w="8134" w:type="dxa"/>
            <w:gridSpan w:val="3"/>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i w:val="1"/>
                <w:sz w:val="24"/>
              </w:rPr>
              <w:t>(є невід’ємною частиною цієї документації)</w:t>
            </w:r>
          </w:p>
          <w:p>
            <w:pPr>
              <w:spacing w:lineRule="auto" w:line="240" w:after="0" w:beforeAutospacing="0" w:afterAutospacing="0"/>
              <w:rPr>
                <w:rFonts w:ascii="Times New Roman" w:hAnsi="Times New Roman"/>
                <w:sz w:val="24"/>
              </w:rPr>
            </w:pPr>
          </w:p>
        </w:tc>
      </w:tr>
    </w:tbl>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r>
        <w:rPr>
          <w:rFonts w:ascii="Times New Roman" w:hAnsi="Times New Roman"/>
          <w:sz w:val="24"/>
        </w:rPr>
        <w:br w:type="textWrapping"/>
      </w:r>
    </w:p>
    <w:tbl>
      <w:tblPr>
        <w:tblStyle w:val="T3"/>
        <w:tblW w:w="9629" w:type="dxa"/>
        <w:jc w:val="center"/>
        <w:tblInd w:w="0" w:type="dxa"/>
        <w:tblLayout w:type="fixed"/>
        <w:tblLook w:val="0400"/>
      </w:tblPr>
      <w:tblGrid/>
      <w:tr>
        <w:trPr>
          <w:trHeight w:hRule="atLeast" w:val="173"/>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vAlign w:val="center"/>
          </w:tcPr>
          <w:p>
            <w:pPr>
              <w:spacing w:lineRule="auto" w:line="240" w:after="0" w:beforeAutospacing="0" w:afterAutospacing="0"/>
              <w:rPr>
                <w:rFonts w:ascii="Times New Roman" w:hAnsi="Times New Roman"/>
                <w:sz w:val="24"/>
              </w:rPr>
            </w:pPr>
            <w:r>
              <w:rPr>
                <w:rFonts w:ascii="Times New Roman" w:hAnsi="Times New Roman"/>
                <w:b w:val="1"/>
                <w:sz w:val="24"/>
              </w:rPr>
              <w:t>№</w:t>
            </w:r>
          </w:p>
        </w:tc>
        <w:tc>
          <w:tcPr>
            <w:tcW w:w="9113"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vAlign w:val="center"/>
          </w:tcPr>
          <w:p>
            <w:pPr>
              <w:spacing w:lineRule="auto" w:line="240" w:after="0" w:beforeAutospacing="0" w:afterAutospacing="0"/>
              <w:jc w:val="center"/>
              <w:rPr>
                <w:rFonts w:ascii="Times New Roman" w:hAnsi="Times New Roman"/>
                <w:sz w:val="24"/>
              </w:rPr>
            </w:pPr>
            <w:r>
              <w:rPr>
                <w:rFonts w:ascii="Times New Roman" w:hAnsi="Times New Roman"/>
                <w:b w:val="1"/>
                <w:sz w:val="24"/>
              </w:rPr>
              <w:t>Розділ І. Загальні положення</w:t>
            </w:r>
          </w:p>
        </w:tc>
      </w:tr>
      <w:tr>
        <w:trPr>
          <w:trHeight w:hRule="atLeast" w:val="70"/>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vAlign w:val="center"/>
          </w:tcPr>
          <w:p>
            <w:pPr>
              <w:spacing w:lineRule="auto" w:line="240" w:after="0" w:beforeAutospacing="0" w:afterAutospacing="0"/>
              <w:rPr>
                <w:rFonts w:ascii="Times New Roman" w:hAnsi="Times New Roman"/>
                <w:sz w:val="24"/>
              </w:rPr>
            </w:pPr>
            <w:r>
              <w:rPr>
                <w:rFonts w:ascii="Times New Roman" w:hAnsi="Times New Roman"/>
                <w:b w:val="1"/>
                <w:sz w:val="24"/>
              </w:rPr>
              <w:t>1</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vAlign w:val="center"/>
          </w:tcPr>
          <w:p>
            <w:pPr>
              <w:spacing w:lineRule="auto" w:line="240" w:after="0" w:beforeAutospacing="0" w:afterAutospacing="0"/>
              <w:rPr>
                <w:rFonts w:ascii="Times New Roman" w:hAnsi="Times New Roman"/>
                <w:sz w:val="24"/>
              </w:rPr>
            </w:pPr>
            <w:r>
              <w:rPr>
                <w:rFonts w:ascii="Times New Roman" w:hAnsi="Times New Roman"/>
                <w:b w:val="1"/>
                <w:sz w:val="24"/>
              </w:rPr>
              <w:t>2</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vAlign w:val="center"/>
          </w:tcPr>
          <w:p>
            <w:pPr>
              <w:spacing w:lineRule="auto" w:line="240" w:after="0" w:beforeAutospacing="0" w:afterAutospacing="0"/>
              <w:rPr>
                <w:rFonts w:ascii="Times New Roman" w:hAnsi="Times New Roman"/>
                <w:sz w:val="24"/>
              </w:rPr>
            </w:pPr>
            <w:r>
              <w:rPr>
                <w:rFonts w:ascii="Times New Roman" w:hAnsi="Times New Roman"/>
                <w:b w:val="1"/>
                <w:sz w:val="24"/>
              </w:rPr>
              <w:t>3</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b w:val="1"/>
                <w:sz w:val="24"/>
              </w:rPr>
              <w:t>1</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b w:val="1"/>
                <w:sz w:val="24"/>
              </w:rPr>
              <w:t>Терміни, які вживаються в тендерній документації</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vAlign w:val="center"/>
          </w:tcPr>
          <w:p>
            <w:pPr>
              <w:spacing w:lineRule="auto" w:line="240" w:after="0" w:beforeAutospacing="0" w:afterAutospacing="0"/>
              <w:jc w:val="both"/>
              <w:rPr>
                <w:rFonts w:ascii="Times New Roman" w:hAnsi="Times New Roman"/>
                <w:sz w:val="24"/>
              </w:rPr>
            </w:pPr>
            <w:r>
              <w:rPr>
                <w:rFonts w:ascii="Times New Roman" w:hAnsi="Times New Roman"/>
                <w:sz w:val="24"/>
              </w:rPr>
              <w:t>Тендерну документацію розроблено відповідно до вимог Закону України «Про публічні закупівлі» (далі – Закон) та інших нормативно-правових актів (документів) чинного законодавства у сфері публічних закупівель зокрема Постанови Кабінету Міністрів</w:t>
              <w:br w:type="textWrapping"/>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(далі – Особливості).</w:t>
            </w:r>
          </w:p>
          <w:p>
            <w:pPr>
              <w:spacing w:lineRule="auto" w:line="240" w:after="0" w:beforeAutospacing="0" w:afterAutospacing="0"/>
              <w:ind w:right="113"/>
              <w:jc w:val="both"/>
              <w:rPr>
                <w:rFonts w:ascii="Times New Roman" w:hAnsi="Times New Roman"/>
                <w:sz w:val="24"/>
              </w:rPr>
            </w:pPr>
            <w:r>
              <w:rPr>
                <w:rFonts w:ascii="Times New Roman" w:hAnsi="Times New Roman"/>
                <w:sz w:val="24"/>
              </w:rPr>
              <w:t>Терміни вживаються в значеннях, визначених Законом.</w:t>
            </w:r>
          </w:p>
        </w:tc>
      </w:tr>
      <w:tr>
        <w:trPr>
          <w:trHeight w:hRule="atLeast" w:val="36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b w:val="1"/>
                <w:sz w:val="24"/>
              </w:rPr>
              <w:t>2</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b w:val="1"/>
                <w:sz w:val="24"/>
              </w:rPr>
              <w:t>Інформація про замовника торгів</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r>
      <w:tr>
        <w:trPr>
          <w:trHeight w:hRule="atLeast" w:val="200"/>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2.1</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повне найменування</w:t>
            </w:r>
          </w:p>
          <w:p>
            <w:pPr>
              <w:spacing w:lineRule="auto" w:line="240" w:after="0" w:beforeAutospacing="0" w:afterAutospacing="0"/>
              <w:ind w:right="113"/>
              <w:jc w:val="both"/>
              <w:rPr>
                <w:rFonts w:ascii="Times New Roman" w:hAnsi="Times New Roman"/>
                <w:sz w:val="24"/>
              </w:rPr>
            </w:pP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Закарпатська регіональна державна лабораторія Держпродспоживслужби, ЄДРПОУ 00698727</w:t>
            </w:r>
          </w:p>
        </w:tc>
      </w:tr>
      <w:tr>
        <w:trPr>
          <w:trHeight w:hRule="atLeast" w:val="74"/>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2.2</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місцезнаходження</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88015, Україна, Закарпатська область, м. Ужгород, вул. Минайська, буд. 39</w:t>
            </w:r>
          </w:p>
        </w:tc>
      </w:tr>
      <w:tr>
        <w:trPr>
          <w:trHeight w:hRule="atLeast" w:val="844"/>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2.3</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rFonts w:ascii="Times New Roman" w:hAnsi="Times New Roman"/>
                <w:sz w:val="24"/>
              </w:rPr>
            </w:pPr>
            <w:r>
              <w:rPr>
                <w:rFonts w:ascii="Times New Roman" w:hAnsi="Times New Roman"/>
                <w:sz w:val="24"/>
              </w:rPr>
              <w:t>Драгоєв Євген Дмитрович - уповноважена особа - провідний юрист,</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тел. (068) 318 - 70 - 14, e-mail: zdldpsswork@ukr.net</w:t>
            </w:r>
          </w:p>
        </w:tc>
      </w:tr>
      <w:tr>
        <w:trPr>
          <w:trHeight w:hRule="atLeast" w:val="18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3</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sz w:val="24"/>
              </w:rPr>
              <w:t>Процедура закупівлі</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sz w:val="24"/>
              </w:rPr>
              <w:t>відкриті торги з особливостями</w:t>
            </w:r>
          </w:p>
        </w:tc>
      </w:tr>
      <w:tr>
        <w:trPr>
          <w:trHeight w:hRule="atLeast" w:val="145"/>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b w:val="1"/>
                <w:sz w:val="24"/>
              </w:rPr>
              <w:t>4</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b w:val="1"/>
                <w:sz w:val="24"/>
              </w:rPr>
              <w:t>Інформація про предмет закупівлі</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r>
      <w:tr>
        <w:trPr>
          <w:trHeight w:hRule="atLeast" w:val="6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4.1</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sz w:val="24"/>
              </w:rPr>
              <w:t>назва предмета закупівлі</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rFonts w:ascii="Times New Roman" w:hAnsi="Times New Roman"/>
                <w:b w:val="1"/>
                <w:color w:val="auto"/>
                <w:sz w:val="24"/>
              </w:rPr>
            </w:pPr>
            <w:bookmarkStart w:id="0" w:name="_heading=h.ti7rzfrkh8fh"/>
            <w:bookmarkEnd w:id="0"/>
            <w:r>
              <w:rPr>
                <w:rFonts w:ascii="Times New Roman" w:hAnsi="Times New Roman"/>
                <w:color w:val="auto"/>
                <w:sz w:val="24"/>
              </w:rPr>
              <w:t xml:space="preserve">ДК 021:2015: </w:t>
            </w:r>
            <w:r>
              <w:rPr>
                <w:rFonts w:ascii="Times New Roman" w:hAnsi="Times New Roman"/>
                <w:b w:val="1"/>
                <w:color w:val="auto"/>
                <w:sz w:val="24"/>
              </w:rPr>
              <w:t xml:space="preserve">42910000-8  Апарати для дистилювання, фільтрування чи ректифікації</w:t>
            </w:r>
          </w:p>
          <w:p>
            <w:pPr>
              <w:spacing w:before="0" w:after="0"/>
              <w:ind w:firstLine="0" w:left="0" w:right="0"/>
              <w:jc w:val="both"/>
            </w:pPr>
            <w:bookmarkStart w:id="1" w:name="_dx_frag_StartFragment"/>
            <w:bookmarkEnd w:id="1"/>
            <w:r>
              <w:rPr>
                <w:rFonts w:ascii="Times New Roman" w:hAnsi="Times New Roman"/>
                <w:color w:val="000000"/>
                <w:sz w:val="24"/>
              </w:rPr>
              <w:t>42914000-6 Вакуумна система для видалення відходів</w:t>
            </w:r>
          </w:p>
          <w:p>
            <w:pPr>
              <w:spacing w:before="0" w:after="0"/>
              <w:ind w:firstLine="0" w:left="0" w:right="0"/>
              <w:jc w:val="both"/>
            </w:pPr>
            <w:r>
              <w:rPr>
                <w:rFonts w:ascii="Times New Roman" w:hAnsi="Times New Roman"/>
                <w:color w:val="000000"/>
                <w:sz w:val="24"/>
              </w:rPr>
              <w:t>42910000-8 Бідистилятор</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rFonts w:ascii="Times New Roman" w:hAnsi="Times New Roman"/>
                <w:sz w:val="24"/>
              </w:rPr>
            </w:pPr>
            <w:r>
              <w:rPr>
                <w:rFonts w:ascii="Times New Roman" w:hAnsi="Times New Roman"/>
                <w:color w:val="000000"/>
                <w:sz w:val="24"/>
              </w:rPr>
              <w:t>42912300-5 Очисник води</w:t>
            </w:r>
          </w:p>
        </w:tc>
      </w:tr>
      <w:tr>
        <w:trPr>
          <w:trHeight w:hRule="atLeast" w:val="23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4.2</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left="-9" w:right="113"/>
              <w:rPr>
                <w:rFonts w:ascii="Times New Roman" w:hAnsi="Times New Roman"/>
                <w:sz w:val="24"/>
              </w:rPr>
            </w:pPr>
            <w:r>
              <w:rPr>
                <w:rFonts w:ascii="Times New Roman" w:hAnsi="Times New Roman"/>
                <w:sz w:val="24"/>
              </w:rPr>
              <w:t>опис окремої частини (частин) предмета закупівлі (лота), щодо якої можуть бути подані тендерні пропозиції </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sz w:val="24"/>
              </w:rPr>
              <w:t>Предмет закупівлі: товари</w:t>
            </w:r>
          </w:p>
          <w:p>
            <w:pPr>
              <w:spacing w:lineRule="auto" w:line="240" w:after="0" w:beforeAutospacing="0" w:afterAutospacing="0"/>
              <w:ind w:firstLine="176"/>
              <w:jc w:val="both"/>
              <w:rPr>
                <w:rFonts w:ascii="Times New Roman" w:hAnsi="Times New Roman"/>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Закупівля товару в цілому</w:t>
            </w:r>
          </w:p>
          <w:p>
            <w:pPr>
              <w:spacing w:lineRule="auto" w:line="240" w:after="0" w:beforeAutospacing="0" w:afterAutospacing="0"/>
              <w:ind w:firstLine="176"/>
              <w:jc w:val="both"/>
              <w:rPr>
                <w:rFonts w:ascii="Times New Roman" w:hAnsi="Times New Roman"/>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Поділ на лоти не передбачається</w:t>
            </w:r>
          </w:p>
        </w:tc>
      </w:tr>
      <w:tr>
        <w:trPr>
          <w:trHeight w:hRule="atLeast" w:val="1128"/>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4.3</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left="-9" w:right="113"/>
              <w:rPr>
                <w:rFonts w:ascii="Times New Roman" w:hAnsi="Times New Roman"/>
                <w:sz w:val="24"/>
              </w:rPr>
            </w:pPr>
            <w:r>
              <w:rPr>
                <w:rFonts w:ascii="Times New Roman" w:hAnsi="Times New Roman"/>
                <w:sz w:val="24"/>
              </w:rPr>
              <w:t>місце, кількість, обсяг поставки товарів (надання послуг, виконання робіт)</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after="0" w:beforeAutospacing="0" w:afterAutospacing="0"/>
              <w:ind w:hanging="2"/>
              <w:rPr>
                <w:rFonts w:ascii="Times New Roman" w:hAnsi="Times New Roman"/>
                <w:sz w:val="24"/>
              </w:rPr>
            </w:pPr>
            <w:r>
              <w:rPr>
                <w:rFonts w:ascii="Times New Roman" w:hAnsi="Times New Roman"/>
                <w:color w:val="000000"/>
                <w:sz w:val="24"/>
              </w:rPr>
              <w:t>Закарпатська регіональна державна лабораторія Держпродспоживслужби, 88015, Україна, Закарпатська обл., м. Ужгород, вул. Минайська, буд. 39</w:t>
            </w:r>
            <w:r>
              <w:rPr>
                <w:rFonts w:ascii="Times New Roman" w:hAnsi="Times New Roman"/>
                <w:sz w:val="24"/>
              </w:rPr>
              <w:t xml:space="preserve"> згідно Додатку ІІ до тендерної документації.</w:t>
            </w:r>
          </w:p>
        </w:tc>
      </w:tr>
      <w:tr>
        <w:trPr>
          <w:trHeight w:hRule="atLeast" w:val="77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4.4</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left="-9" w:right="113"/>
              <w:rPr>
                <w:rFonts w:ascii="Times New Roman" w:hAnsi="Times New Roman"/>
                <w:sz w:val="24"/>
              </w:rPr>
            </w:pPr>
            <w:r>
              <w:rPr>
                <w:rFonts w:ascii="Times New Roman" w:hAnsi="Times New Roman"/>
                <w:sz w:val="24"/>
              </w:rPr>
              <w:t>строк поставки товарів (надання послуг, виконання робіт)</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Протягом 10 (десять) календарних днів від дати заявки Замовника, але не пізніше 30.10.2023 р.</w:t>
            </w:r>
          </w:p>
        </w:tc>
      </w:tr>
      <w:tr>
        <w:trPr>
          <w:trHeight w:hRule="atLeast" w:val="77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4.5</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left="-9" w:right="113"/>
              <w:rPr>
                <w:rFonts w:ascii="Times New Roman" w:hAnsi="Times New Roman"/>
                <w:sz w:val="24"/>
              </w:rPr>
            </w:pPr>
            <w:r>
              <w:rPr>
                <w:rFonts w:ascii="Times New Roman" w:hAnsi="Times New Roman"/>
                <w:sz w:val="24"/>
              </w:rPr>
              <w:t>очікувана вартість предмета закупівлі</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color w:val="FF0000"/>
                <w:sz w:val="24"/>
              </w:rPr>
            </w:pPr>
            <w:r>
              <w:rPr>
                <w:rFonts w:ascii="Times New Roman" w:hAnsi="Times New Roman"/>
                <w:b w:val="1"/>
                <w:color w:val="auto"/>
                <w:sz w:val="24"/>
              </w:rPr>
              <w:t>892 984,25 грн.</w:t>
            </w:r>
            <w:r>
              <w:rPr>
                <w:rFonts w:ascii="Times New Roman" w:hAnsi="Times New Roman"/>
                <w:color w:val="auto"/>
                <w:sz w:val="24"/>
              </w:rPr>
              <w:t xml:space="preserve"> (Вісімсот дев’яносто дві тисячі дев'ятсот вісімдесят чотири гривні 25 копійок)</w:t>
            </w:r>
          </w:p>
        </w:tc>
      </w:tr>
      <w:tr>
        <w:trPr>
          <w:trHeight w:hRule="atLeast" w:val="13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Недискримінація учасників</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Учасники (резиденти та нерезиденти) всіх форм власності та організаційно-правових форм беруть участь у процедурі закупівлі на рівних умовах,</w:t>
            </w:r>
          </w:p>
          <w:p>
            <w:pPr>
              <w:spacing w:lineRule="auto" w:line="240" w:after="0" w:beforeAutospacing="0" w:afterAutospacing="0"/>
              <w:ind w:firstLine="425" w:right="113"/>
              <w:jc w:val="both"/>
              <w:rPr>
                <w:rFonts w:ascii="Times New Roman" w:hAnsi="Times New Roman"/>
                <w:sz w:val="24"/>
              </w:rPr>
            </w:pPr>
            <w:r>
              <w:rPr>
                <w:rFonts w:ascii="Times New Roman" w:hAnsi="Times New Roman"/>
                <w:sz w:val="24"/>
              </w:rPr>
              <w:t xml:space="preserve"> крім громадян </w:t>
            </w:r>
            <w:r>
              <w:rPr>
                <w:rFonts w:ascii="Times New Roman" w:hAnsi="Times New Roman"/>
                <w:sz w:val="24"/>
                <w:shd w:val="clear" w:fill="FFFFFF"/>
              </w:rPr>
              <w:t>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6</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Інформація про валюту, у якій повинно бути розраховано та зазначено ціну тендерної пропозиції</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Валютою тендерної пропозиції є гривня.</w:t>
            </w:r>
          </w:p>
          <w:p>
            <w:pPr>
              <w:spacing w:lineRule="auto" w:line="240" w:after="0" w:beforeAutospacing="0" w:afterAutospacing="0"/>
              <w:ind w:right="113"/>
              <w:jc w:val="both"/>
              <w:rPr>
                <w:rFonts w:ascii="Times New Roman" w:hAnsi="Times New Roman"/>
                <w:sz w:val="24"/>
              </w:rPr>
            </w:pPr>
            <w:r>
              <w:rPr>
                <w:rFonts w:ascii="Times New Roman" w:hAnsi="Times New Roman"/>
                <w:sz w:val="24"/>
              </w:rPr>
              <w:t>Ціна тендерної пропозиції повинна бути розрахована з урахуванням податку на додану вартість (у випадках, що визначені законодавством) та вартості інших витрат учасників.</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7</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vAlign w:val="center"/>
          </w:tcPr>
          <w:p>
            <w:pPr>
              <w:spacing w:lineRule="auto" w:line="240" w:after="0" w:beforeAutospacing="0" w:afterAutospacing="0"/>
              <w:ind w:right="113"/>
              <w:rPr>
                <w:rFonts w:ascii="Times New Roman" w:hAnsi="Times New Roman"/>
                <w:sz w:val="24"/>
              </w:rPr>
            </w:pPr>
            <w:r>
              <w:rPr>
                <w:rFonts w:ascii="Times New Roman" w:hAnsi="Times New Roman"/>
                <w:sz w:val="24"/>
              </w:rPr>
              <w:t>Інформація про мову (мови), якою (якими) повинно бути складено тендерні пропозиції</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 6 розділу 3 тендерної документації, які можуть бути складені іншою(ими) мовою(ами).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в такому випадку учасник подає у складі тендерної пропозиції копію повного документ мовою оригіналу та його переклад, що здійснено українською мовою. Вірність перекладу засвідчується нотаріально або суб'єктом господарювання, який здійснив переклад.  Дана вимога не відноситься до власних назв та/або загальноприйнятих визначень тощо.</w:t>
            </w:r>
          </w:p>
          <w:p>
            <w:pPr>
              <w:spacing w:lineRule="auto" w:line="240" w:after="0" w:beforeAutospacing="0" w:afterAutospacing="0"/>
              <w:ind w:right="113"/>
              <w:jc w:val="both"/>
              <w:rPr>
                <w:rFonts w:ascii="Times New Roman" w:hAnsi="Times New Roman"/>
                <w:sz w:val="24"/>
              </w:rPr>
            </w:pPr>
            <w:r>
              <w:rPr>
                <w:rFonts w:ascii="Times New Roman" w:hAnsi="Times New Roman"/>
                <w:sz w:val="24"/>
              </w:rPr>
              <w:t>Відповідальність за достовірність перекладу несе учасник.</w:t>
            </w:r>
          </w:p>
        </w:tc>
      </w:tr>
      <w:tr>
        <w:trPr>
          <w:trHeight w:hRule="atLeast" w:val="160"/>
          <w:jc w:val="center"/>
        </w:trPr>
        <w:tc>
          <w:tcPr>
            <w:tcW w:w="9629"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vAlign w:val="center"/>
          </w:tcPr>
          <w:p>
            <w:pPr>
              <w:spacing w:lineRule="auto" w:line="240" w:after="0" w:beforeAutospacing="0" w:afterAutospacing="0"/>
              <w:jc w:val="center"/>
              <w:rPr>
                <w:rFonts w:ascii="Times New Roman" w:hAnsi="Times New Roman"/>
                <w:sz w:val="24"/>
              </w:rPr>
            </w:pPr>
            <w:r>
              <w:rPr>
                <w:rFonts w:ascii="Times New Roman" w:hAnsi="Times New Roman"/>
                <w:b w:val="1"/>
                <w:sz w:val="24"/>
              </w:rPr>
              <w:t>Розділ ІІ. Порядок унесення змін та надання роз’яснень до тендерної документації</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1</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Процедура надання роз’яснень щодо тендерної документації </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sz w:val="24"/>
              </w:rPr>
              <w:t>Надання роз’яснень щодо тендерної документації здійснюється відповідно положень пункту 54  Особливостей.</w:t>
            </w:r>
          </w:p>
          <w:p>
            <w:pPr>
              <w:spacing w:lineRule="auto" w:line="240" w:after="0" w:beforeAutospacing="0" w:afterAutospacing="0"/>
              <w:jc w:val="both"/>
              <w:rPr>
                <w:rFonts w:ascii="Times New Roman" w:hAnsi="Times New Roman"/>
                <w:sz w:val="24"/>
              </w:rPr>
            </w:pPr>
            <w:r>
              <w:rPr>
                <w:rFonts w:ascii="Times New Roman" w:hAnsi="Times New Roman"/>
                <w:sz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spacing w:lineRule="auto" w:line="240" w:after="0" w:beforeAutospacing="0" w:afterAutospacing="0"/>
              <w:jc w:val="both"/>
              <w:rPr>
                <w:rFonts w:ascii="Times New Roman" w:hAnsi="Times New Roman"/>
                <w:sz w:val="24"/>
              </w:rPr>
            </w:pPr>
            <w:r>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lineRule="auto" w:line="240" w:after="0" w:beforeAutospacing="0" w:afterAutospacing="0"/>
              <w:ind w:right="113"/>
              <w:jc w:val="both"/>
              <w:rPr>
                <w:rFonts w:ascii="Times New Roman" w:hAnsi="Times New Roman"/>
                <w:sz w:val="24"/>
              </w:rPr>
            </w:pPr>
            <w:r>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2</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Унесення змін до тендерної документації</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sz w:val="24"/>
              </w:rPr>
              <w:t>Внесення змін здійснюється відповідно до положень пункту 54 Особливостей.</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Pr>
                <w:rFonts w:ascii="Times New Roman" w:hAnsi="Times New Roman"/>
                <w:sz w:val="24"/>
              </w:rPr>
              <w:fldChar w:fldCharType="begin"/>
            </w:r>
            <w:r>
              <w:rPr>
                <w:rFonts w:ascii="Times New Roman" w:hAnsi="Times New Roman"/>
                <w:sz w:val="24"/>
              </w:rPr>
              <w:instrText>HYPERLINK "https://zakon.rada.gov.ua/laws/show/922-19" \l "n960"</w:instrText>
            </w:r>
            <w:r>
              <w:rPr>
                <w:rFonts w:ascii="Times New Roman" w:hAnsi="Times New Roman"/>
                <w:sz w:val="24"/>
              </w:rPr>
              <w:fldChar w:fldCharType="separate"/>
            </w:r>
            <w:r>
              <w:rPr>
                <w:rFonts w:ascii="Times New Roman" w:hAnsi="Times New Roman"/>
                <w:sz w:val="24"/>
                <w:u w:val="single"/>
              </w:rPr>
              <w:t>статті 8</w:t>
            </w:r>
            <w:r>
              <w:rPr>
                <w:rFonts w:ascii="Times New Roman" w:hAnsi="Times New Roman"/>
                <w:sz w:val="24"/>
                <w:u w:val="single"/>
              </w:rPr>
              <w:fldChar w:fldCharType="end"/>
            </w:r>
            <w:r>
              <w:rPr>
                <w:rFonts w:ascii="Times New Roman" w:hAnsi="Times New Roman"/>
                <w:sz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spacing w:lineRule="auto" w:line="240" w:after="0" w:beforeAutospacing="0" w:afterAutospacing="0"/>
              <w:jc w:val="both"/>
              <w:rPr>
                <w:rFonts w:ascii="Times New Roman" w:hAnsi="Times New Roman"/>
                <w:sz w:val="24"/>
              </w:rPr>
            </w:pPr>
            <w:bookmarkStart w:id="2" w:name="_heading=h.gjdgxs"/>
            <w:bookmarkEnd w:id="2"/>
            <w:r>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hRule="atLeast" w:val="266"/>
          <w:jc w:val="center"/>
        </w:trPr>
        <w:tc>
          <w:tcPr>
            <w:tcW w:w="9629"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vAlign w:val="center"/>
          </w:tcPr>
          <w:p>
            <w:pPr>
              <w:spacing w:lineRule="auto" w:line="240" w:after="0" w:beforeAutospacing="0" w:afterAutospacing="0"/>
              <w:jc w:val="center"/>
              <w:rPr>
                <w:rFonts w:ascii="Times New Roman" w:hAnsi="Times New Roman"/>
                <w:sz w:val="24"/>
              </w:rPr>
            </w:pPr>
            <w:bookmarkStart w:id="3" w:name="_heading=h.3znysh7"/>
            <w:bookmarkEnd w:id="3"/>
            <w:r>
              <w:rPr>
                <w:rFonts w:ascii="Times New Roman" w:hAnsi="Times New Roman"/>
                <w:b w:val="1"/>
                <w:sz w:val="24"/>
              </w:rPr>
              <w:t>Розділ ІІІ. Інструкція з підготовки тендерної пропозиції</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1</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Зміст і спосіб подання тендерної пропозиції</w:t>
            </w:r>
          </w:p>
          <w:p>
            <w:pPr>
              <w:spacing w:lineRule="auto" w:line="240" w:after="0" w:beforeAutospacing="0" w:afterAutospacing="0"/>
              <w:rPr>
                <w:rFonts w:ascii="Times New Roman" w:hAnsi="Times New Roman"/>
                <w:sz w:val="24"/>
              </w:rPr>
            </w:pP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60"/>
              <w:jc w:val="both"/>
              <w:rPr>
                <w:rFonts w:ascii="Times New Roman" w:hAnsi="Times New Roman"/>
                <w:sz w:val="24"/>
              </w:rPr>
            </w:pPr>
            <w:r>
              <w:rPr>
                <w:rFonts w:ascii="Times New Roman" w:hAnsi="Times New Roman"/>
                <w:sz w:val="24"/>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pPr>
              <w:spacing w:lineRule="auto" w:line="240" w:after="0" w:beforeAutospacing="0" w:afterAutospacing="0"/>
              <w:ind w:right="60"/>
              <w:jc w:val="both"/>
              <w:rPr>
                <w:rFonts w:ascii="Times New Roman" w:hAnsi="Times New Roman"/>
                <w:sz w:val="24"/>
              </w:rPr>
            </w:pPr>
          </w:p>
          <w:p>
            <w:pPr>
              <w:spacing w:lineRule="auto" w:line="240" w:after="0" w:beforeAutospacing="0" w:afterAutospacing="0"/>
              <w:jc w:val="both"/>
              <w:rPr>
                <w:rFonts w:ascii="Times New Roman" w:hAnsi="Times New Roman"/>
                <w:strike w:val="1"/>
                <w:sz w:val="24"/>
              </w:rPr>
            </w:pPr>
            <w:r>
              <w:rPr>
                <w:rFonts w:ascii="Times New Roman" w:hAnsi="Times New Roman"/>
                <w:sz w:val="24"/>
              </w:rPr>
              <w:t xml:space="preserve">Замовник не приймає до розгляду тендерну пропозицію, ціна якої є вищою, ніж очікувана вартість предмета закупівлі, що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відхилена, відповідно до Особливостей. </w:t>
            </w:r>
          </w:p>
          <w:p>
            <w:pPr>
              <w:spacing w:lineRule="auto" w:line="240" w:after="0" w:beforeAutospacing="0" w:afterAutospacing="0"/>
              <w:jc w:val="both"/>
              <w:rPr>
                <w:rFonts w:ascii="Times New Roman" w:hAnsi="Times New Roman"/>
                <w:strike w:val="1"/>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Учасник відповідно до вимог цієї тендерної документації повинен надати у складі тендерної пропозиції:</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1.1. Інформацію та документи, що підтверджують відповідність учасника кваліфікаційним критеріям та вимогам пункту 47 Особливостей (Додаток І); </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1.2. Інформацію про необхідні технічні, якісні та кількісні характеристики предмета закупівлі </w:t>
              <w:br w:type="textWrapping"/>
              <w:t>(Додаток ІІ).</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1.3. Проект договору про закупівлю товару за державні кошти  (Додаток ІІІ).</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1.4. Форму «Тендерна пропозиція» (Додаток ІV).</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1.5.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 для учасників-фізичних осіб, у т.ч. фізичних осіб-підприємців, -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1.6. Документи, що підтверджують надання учасником забезпечення тендерної (якщо таке забезпечення передбачено оголошенням про проведення процедури закупівлі).</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1.7. Інші документи та інформація, що вимагаються відповідно до умов цієї тендерної документації.</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u w:val="single"/>
              </w:rPr>
              <w:t>1.8. Гарантійний лист, яким учасник підтверджує,</w:t>
            </w:r>
            <w:r>
              <w:rPr>
                <w:rFonts w:ascii="Times New Roman" w:hAnsi="Times New Roman"/>
                <w:sz w:val="24"/>
              </w:rPr>
              <w:t xml:space="preserve">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w:t>
            </w: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1.9. Учасники враховують вимоги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На підтвердження інформації зазначеної в цьому пункті Учасники в складі тендерної пропозиції надають гарантійний лист про те, що місцезнаходженням (місцем проживання) суб’єкта господарювання, який є учасником, не є територіальна громада, яка перебуває в тимчасовій окупації. </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b w:val="1"/>
                <w:sz w:val="24"/>
              </w:rPr>
            </w:pPr>
            <w:r>
              <w:rPr>
                <w:rFonts w:ascii="Times New Roman" w:hAnsi="Times New Roman"/>
                <w:sz w:val="24"/>
              </w:rPr>
              <w:t>1.10. Учасники враховують положення пункту 2 Особливостей та надають довідку про те,</w:t>
            </w:r>
            <w:r>
              <w:rPr>
                <w:rFonts w:ascii="Times New Roman" w:hAnsi="Times New Roman"/>
                <w:b w:val="1"/>
                <w:sz w:val="24"/>
              </w:rPr>
              <w:t xml:space="preserve"> що учасник не є: </w:t>
            </w: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shd w:val="clear" w:fill="FFFFFF"/>
              </w:rPr>
              <w:t>громадянином Російської Федерації/Республіки Білорусь (крім тих, що проживають на території України на законних підставах); </w:t>
            </w: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shd w:val="clear" w:fill="FFFFFF"/>
              </w:rPr>
              <w:t>юридичною особою, створеною та зареєстрованою відповідно до законодавства Російської Федерації/Республіки Білорусь;</w:t>
            </w:r>
          </w:p>
          <w:p>
            <w:pPr>
              <w:spacing w:lineRule="auto" w:line="240" w:after="0" w:beforeAutospacing="0" w:afterAutospacing="0"/>
              <w:ind w:firstLine="315" w:right="113"/>
              <w:jc w:val="both"/>
              <w:rPr>
                <w:rFonts w:ascii="Times New Roman" w:hAnsi="Times New Roman"/>
                <w:sz w:val="24"/>
                <w:shd w:val="clear" w:fill="FFFFFF"/>
              </w:rPr>
            </w:pPr>
            <w:r>
              <w:rPr>
                <w:rFonts w:ascii="Times New Roman" w:hAnsi="Times New Roman"/>
                <w:sz w:val="24"/>
                <w:shd w:val="clear" w:fill="FFFFFF"/>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w:t>
            </w: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б) посвідку на постійне чи тимчасове проживання на території України;</w:t>
            </w: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в) військовий квиток, виданий російському громадянину, який уклав контракт про проходження військової служби у Збройних Силах України;</w:t>
            </w:r>
          </w:p>
          <w:p>
            <w:pPr>
              <w:spacing w:lineRule="auto" w:line="240" w:after="0" w:beforeAutospacing="0" w:afterAutospacing="0"/>
              <w:ind w:firstLine="315" w:right="113"/>
              <w:jc w:val="both"/>
              <w:rPr>
                <w:rFonts w:ascii="Times New Roman" w:hAnsi="Times New Roman"/>
                <w:sz w:val="24"/>
                <w:shd w:val="clear" w:fill="FFFFFF"/>
              </w:rPr>
            </w:pPr>
            <w:r>
              <w:rPr>
                <w:rFonts w:ascii="Times New Roman" w:hAnsi="Times New Roman"/>
                <w:sz w:val="24"/>
              </w:rPr>
              <w:t>г) посвідчення біженця чи документ, що підтверджує надання притулку в Україні (стаття 1 Закону України «Про громадянство України»).</w:t>
            </w:r>
          </w:p>
          <w:p>
            <w:pPr>
              <w:spacing w:lineRule="auto" w:line="240" w:after="0" w:beforeAutospacing="0" w:afterAutospacing="0"/>
              <w:ind w:firstLine="315" w:right="113"/>
              <w:jc w:val="both"/>
              <w:rPr>
                <w:rFonts w:ascii="Times New Roman" w:hAnsi="Times New Roman"/>
                <w:i w:val="1"/>
                <w:sz w:val="24"/>
              </w:rPr>
            </w:pPr>
            <w:r>
              <w:rPr>
                <w:rFonts w:ascii="Times New Roman" w:hAnsi="Times New Roman"/>
                <w:i w:val="1"/>
                <w:sz w:val="24"/>
                <w:shd w:val="clear" w:fill="FFFFFF"/>
              </w:rPr>
              <w:t xml:space="preserve">Додатково: у разі якщо предметом закупівлі є товар - надається інформація, що Учасник не пропонує  товар походженням  з Російської Федерації/Республіки Білорусь </w:t>
            </w:r>
            <w:r>
              <w:rPr>
                <w:rFonts w:ascii="Times New Roman" w:hAnsi="Times New Roman"/>
                <w:sz w:val="24"/>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i w:val="1"/>
                <w:sz w:val="24"/>
                <w:shd w:val="clear" w:fill="FFFFFF"/>
              </w:rPr>
              <w:t>.</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1.11 Кожен учасник має право подати тільки одну тендерну пропозицію.</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1.12 Всі визначені цією тендерною документацією документи тендерної пропозиції завантажуються в електронну систему закупівель у вигляді скан-копій.</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частини 3 статті 12 Закону. </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Вважатиметься достатнім виконанням вимог цієї тендерної документації накладання фізичною особою-підприємцем КЕП або УЕП як фізичної особи.</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spacing w:lineRule="auto" w:line="240" w:after="0" w:beforeAutospacing="0" w:afterAutospacing="0"/>
              <w:ind w:firstLine="315"/>
              <w:jc w:val="both"/>
              <w:rPr>
                <w:rFonts w:ascii="Times New Roman" w:hAnsi="Times New Roman"/>
                <w:sz w:val="24"/>
              </w:rPr>
            </w:pPr>
            <w:r>
              <w:rPr>
                <w:rFonts w:ascii="Times New Roman" w:hAnsi="Times New Roman"/>
                <w:i w:val="1"/>
                <w:sz w:val="24"/>
              </w:rPr>
              <w:t>*Згідно з Законом України «Про електронні документи та електронний документообіг».</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1.13 У разі якщо тендерна пропозиція подається об'єднанням учасників, до неї обов'язково включається документ про створення такого об'єднання (учасники враховують інформацію, що зазначена у пункті 28 Особливостей та Додатку І).  </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Учасники-фізичні особи у складі тендерної пропозиції подають інформацію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служби(державної податкової служби) і мають відмітку у паспорті).</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Всі листи (інформація), які готують учасники на вимогу цієї тендерної документації, повинні бути адресовані замовнику, містити посилання на назву предмету закупівлі та номер процедури закупівлі за підписом керівника або уповноваженої особи учасника.</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керівника або уповноваженої посадової особи.</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Замовник не відхиляє тендерну пропозицію через допущення учасниками формальних (несуттєвих) помилок.</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1.14 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тендерної пропозиції.</w:t>
            </w: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Опис формальних помилок відповідно до Наказу Міністерства розвитку економіки, торгівлі та сільського господарства України від 15.04.2020 № 710 "Перелік формальних помилок" зареєстрованого в Міністерстві юстиції України 29 липня 2020 р. за № 715/34998.</w:t>
            </w:r>
          </w:p>
          <w:p>
            <w:pPr>
              <w:spacing w:lineRule="auto" w:line="240" w:after="0" w:beforeAutospacing="0" w:afterAutospacing="0"/>
              <w:jc w:val="both"/>
              <w:rPr>
                <w:rFonts w:ascii="Times New Roman" w:hAnsi="Times New Roman"/>
                <w:sz w:val="24"/>
              </w:rPr>
            </w:pPr>
            <w:r>
              <w:rPr>
                <w:rFonts w:ascii="Times New Roman" w:hAnsi="Times New Roman"/>
                <w:sz w:val="24"/>
              </w:rPr>
              <w:t>1) Інформація/документ, подана учасником процедури закупівлі у складі тендерної пропозиції, містить помилку (помилки) у частині:</w:t>
            </w:r>
          </w:p>
          <w:p>
            <w:pPr>
              <w:spacing w:lineRule="auto" w:line="240" w:after="0" w:beforeAutospacing="0" w:afterAutospacing="0"/>
              <w:jc w:val="both"/>
              <w:rPr>
                <w:rFonts w:ascii="Times New Roman" w:hAnsi="Times New Roman"/>
                <w:sz w:val="24"/>
              </w:rPr>
            </w:pPr>
            <w:r>
              <w:rPr>
                <w:rFonts w:ascii="Times New Roman" w:hAnsi="Times New Roman"/>
                <w:sz w:val="24"/>
              </w:rPr>
              <w:t>- уживання великої літери (наприклад: Місто Вінниця замість місто Вінниця);</w:t>
            </w:r>
          </w:p>
          <w:p>
            <w:pPr>
              <w:spacing w:lineRule="auto" w:line="240" w:after="0" w:beforeAutospacing="0" w:afterAutospacing="0"/>
              <w:jc w:val="both"/>
              <w:rPr>
                <w:rFonts w:ascii="Times New Roman" w:hAnsi="Times New Roman"/>
                <w:sz w:val="24"/>
              </w:rPr>
            </w:pPr>
            <w:r>
              <w:rPr>
                <w:rFonts w:ascii="Times New Roman" w:hAnsi="Times New Roman"/>
                <w:sz w:val="24"/>
              </w:rPr>
              <w:t>- уживання розділових знаків та відмінювання слів у реченні;</w:t>
            </w:r>
          </w:p>
          <w:p>
            <w:pPr>
              <w:spacing w:lineRule="auto" w:line="240" w:after="0" w:beforeAutospacing="0" w:afterAutospacing="0"/>
              <w:jc w:val="both"/>
              <w:rPr>
                <w:rFonts w:ascii="Times New Roman" w:hAnsi="Times New Roman"/>
                <w:sz w:val="24"/>
              </w:rPr>
            </w:pPr>
            <w:r>
              <w:rPr>
                <w:rFonts w:ascii="Times New Roman" w:hAnsi="Times New Roman"/>
                <w:sz w:val="24"/>
              </w:rPr>
              <w:t>- використання слова або мовного звороту, запозичених з іншої мови;</w:t>
            </w:r>
          </w:p>
          <w:p>
            <w:pPr>
              <w:spacing w:lineRule="auto" w:line="240" w:after="0" w:beforeAutospacing="0" w:afterAutospacing="0"/>
              <w:jc w:val="both"/>
              <w:rPr>
                <w:rFonts w:ascii="Times New Roman" w:hAnsi="Times New Roman"/>
                <w:sz w:val="24"/>
              </w:rPr>
            </w:pPr>
            <w:r>
              <w:rPr>
                <w:rFonts w:ascii="Times New Roman" w:hAnsi="Times New Roman"/>
                <w:sz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spacing w:lineRule="auto" w:line="240" w:after="0" w:beforeAutospacing="0" w:afterAutospacing="0"/>
              <w:jc w:val="both"/>
              <w:rPr>
                <w:rFonts w:ascii="Times New Roman" w:hAnsi="Times New Roman"/>
                <w:sz w:val="24"/>
              </w:rPr>
            </w:pPr>
            <w:r>
              <w:rPr>
                <w:rFonts w:ascii="Times New Roman" w:hAnsi="Times New Roman"/>
                <w:sz w:val="24"/>
              </w:rPr>
              <w:t>- застосування правил переносу частини слова з рядка в рядок (наприклад: поряд-ок замість поря-док);</w:t>
            </w:r>
          </w:p>
          <w:p>
            <w:pPr>
              <w:spacing w:lineRule="auto" w:line="240" w:after="0" w:beforeAutospacing="0" w:afterAutospacing="0"/>
              <w:jc w:val="both"/>
              <w:rPr>
                <w:rFonts w:ascii="Times New Roman" w:hAnsi="Times New Roman"/>
                <w:sz w:val="24"/>
              </w:rPr>
            </w:pPr>
            <w:r>
              <w:rPr>
                <w:rFonts w:ascii="Times New Roman" w:hAnsi="Times New Roman"/>
                <w:sz w:val="24"/>
              </w:rPr>
              <w:t>- написання слів разом та/або окремо, та/або через дефіс (наприклад: «ненадається» замість «не надається»);</w:t>
            </w:r>
          </w:p>
          <w:p>
            <w:pPr>
              <w:spacing w:lineRule="auto" w:line="240" w:after="0" w:beforeAutospacing="0" w:afterAutospacing="0"/>
              <w:jc w:val="both"/>
              <w:rPr>
                <w:rFonts w:ascii="Times New Roman" w:hAnsi="Times New Roman"/>
                <w:sz w:val="24"/>
              </w:rPr>
            </w:pPr>
            <w:r>
              <w:rPr>
                <w:rFonts w:ascii="Times New Roman" w:hAnsi="Times New Roman"/>
                <w:sz w:val="24"/>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spacing w:lineRule="auto" w:line="240" w:after="0" w:beforeAutospacing="0" w:afterAutospacing="0"/>
              <w:jc w:val="both"/>
              <w:rPr>
                <w:rFonts w:ascii="Times New Roman" w:hAnsi="Times New Roman"/>
                <w:sz w:val="24"/>
              </w:rPr>
            </w:pPr>
            <w:r>
              <w:rPr>
                <w:rFonts w:ascii="Times New Roman" w:hAnsi="Times New Roman"/>
                <w:sz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spacing w:lineRule="auto" w:line="240" w:after="0" w:beforeAutospacing="0" w:afterAutospacing="0"/>
              <w:jc w:val="both"/>
              <w:rPr>
                <w:rFonts w:ascii="Times New Roman" w:hAnsi="Times New Roman"/>
                <w:sz w:val="24"/>
              </w:rPr>
            </w:pPr>
            <w:r>
              <w:rPr>
                <w:rFonts w:ascii="Times New Roman" w:hAnsi="Times New Roman"/>
                <w:sz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pPr>
              <w:spacing w:lineRule="auto" w:line="240" w:after="0" w:beforeAutospacing="0" w:afterAutospacing="0"/>
              <w:jc w:val="both"/>
              <w:rPr>
                <w:rFonts w:ascii="Times New Roman" w:hAnsi="Times New Roman"/>
                <w:sz w:val="24"/>
              </w:rPr>
            </w:pPr>
            <w:r>
              <w:rPr>
                <w:rFonts w:ascii="Times New Roman" w:hAnsi="Times New Roman"/>
                <w:sz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spacing w:lineRule="auto" w:line="240" w:after="0" w:beforeAutospacing="0" w:afterAutospacing="0"/>
              <w:jc w:val="both"/>
              <w:rPr>
                <w:rFonts w:ascii="Times New Roman" w:hAnsi="Times New Roman"/>
                <w:sz w:val="24"/>
              </w:rPr>
            </w:pPr>
            <w:r>
              <w:rPr>
                <w:rFonts w:ascii="Times New Roman" w:hAnsi="Times New Roman"/>
                <w:sz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spacing w:lineRule="auto" w:line="240" w:after="0" w:beforeAutospacing="0" w:afterAutospacing="0"/>
              <w:jc w:val="both"/>
              <w:rPr>
                <w:rFonts w:ascii="Times New Roman" w:hAnsi="Times New Roman"/>
                <w:sz w:val="24"/>
              </w:rPr>
            </w:pPr>
            <w:r>
              <w:rPr>
                <w:rFonts w:ascii="Times New Roman" w:hAnsi="Times New Roman"/>
                <w:sz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w:t>
            </w:r>
          </w:p>
          <w:p>
            <w:pPr>
              <w:spacing w:lineRule="auto" w:line="240" w:after="0" w:beforeAutospacing="0" w:afterAutospacing="0"/>
              <w:jc w:val="both"/>
              <w:rPr>
                <w:rFonts w:ascii="Times New Roman" w:hAnsi="Times New Roman"/>
                <w:sz w:val="24"/>
              </w:rPr>
            </w:pPr>
            <w:r>
              <w:rPr>
                <w:rFonts w:ascii="Times New Roman" w:hAnsi="Times New Roman"/>
                <w:sz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spacing w:lineRule="auto" w:line="240" w:after="0" w:beforeAutospacing="0" w:afterAutospacing="0"/>
              <w:jc w:val="both"/>
              <w:rPr>
                <w:rFonts w:ascii="Times New Roman" w:hAnsi="Times New Roman"/>
                <w:sz w:val="24"/>
              </w:rPr>
            </w:pPr>
            <w:r>
              <w:rPr>
                <w:rFonts w:ascii="Times New Roman" w:hAnsi="Times New Roman"/>
                <w:sz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pacing w:lineRule="auto" w:line="240" w:after="0" w:beforeAutospacing="0" w:afterAutospacing="0"/>
              <w:jc w:val="both"/>
              <w:rPr>
                <w:rFonts w:ascii="Times New Roman" w:hAnsi="Times New Roman"/>
                <w:sz w:val="24"/>
              </w:rPr>
            </w:pPr>
            <w:r>
              <w:rPr>
                <w:rFonts w:ascii="Times New Roman" w:hAnsi="Times New Roman"/>
                <w:sz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spacing w:lineRule="auto" w:line="240" w:after="0" w:beforeAutospacing="0" w:afterAutospacing="0"/>
              <w:jc w:val="both"/>
              <w:rPr>
                <w:rFonts w:ascii="Times New Roman" w:hAnsi="Times New Roman"/>
                <w:sz w:val="24"/>
              </w:rPr>
            </w:pPr>
            <w:r>
              <w:rPr>
                <w:rFonts w:ascii="Times New Roman" w:hAnsi="Times New Roman"/>
                <w:sz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spacing w:lineRule="auto" w:line="240" w:after="0" w:beforeAutospacing="0" w:afterAutospacing="0"/>
              <w:jc w:val="both"/>
              <w:rPr>
                <w:rFonts w:ascii="Times New Roman" w:hAnsi="Times New Roman"/>
                <w:sz w:val="24"/>
              </w:rPr>
            </w:pPr>
            <w:r>
              <w:rPr>
                <w:rFonts w:ascii="Times New Roman" w:hAnsi="Times New Roman"/>
                <w:sz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lineRule="auto" w:line="240" w:after="0" w:beforeAutospacing="0" w:afterAutospacing="0"/>
              <w:jc w:val="both"/>
              <w:rPr>
                <w:rFonts w:ascii="Times New Roman" w:hAnsi="Times New Roman"/>
                <w:sz w:val="24"/>
              </w:rPr>
            </w:pPr>
            <w:r>
              <w:rPr>
                <w:rFonts w:ascii="Times New Roman" w:hAnsi="Times New Roman"/>
                <w:sz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«.pdf»).</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1.15 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 про що учасник надає в пропозиції інформаційний лист про наявність конфіденційних документів. </w:t>
            </w: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shd w:val="clear"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"https://zakon.rada.gov.ua/laws/show/922-19" \l "n1250"</w:instrText>
            </w:r>
            <w:r>
              <w:rPr>
                <w:rFonts w:ascii="Times New Roman" w:hAnsi="Times New Roman"/>
                <w:sz w:val="24"/>
                <w:shd w:val="clear" w:fill="FFFFFF"/>
              </w:rPr>
              <w:fldChar w:fldCharType="separate"/>
            </w:r>
            <w:r>
              <w:rPr>
                <w:rFonts w:ascii="Times New Roman" w:hAnsi="Times New Roman"/>
                <w:sz w:val="24"/>
                <w:u w:val="single"/>
                <w:shd w:val="clear" w:fill="FFFFFF"/>
              </w:rPr>
              <w:t>статті 16</w:t>
            </w:r>
            <w:r>
              <w:rPr>
                <w:rFonts w:ascii="Times New Roman" w:hAnsi="Times New Roman"/>
                <w:sz w:val="24"/>
                <w:u w:val="single"/>
                <w:shd w:val="clear" w:fill="FFFFFF"/>
              </w:rPr>
              <w:fldChar w:fldCharType="end"/>
            </w:r>
            <w:r>
              <w:rPr>
                <w:rFonts w:ascii="Times New Roman" w:hAnsi="Times New Roman"/>
                <w:sz w:val="24"/>
                <w:shd w:val="clear" w:fill="FFFFFF"/>
              </w:rPr>
              <w:t xml:space="preserve"> Закону, і документи, що підтверджують відсутність підстав, визначених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"https://zakon.rada.gov.ua/laws/show/1178-2022-%D0%BF" \l "n615"</w:instrText>
            </w:r>
            <w:r>
              <w:rPr>
                <w:rFonts w:ascii="Times New Roman" w:hAnsi="Times New Roman"/>
                <w:sz w:val="24"/>
                <w:shd w:val="clear" w:fill="FFFFFF"/>
              </w:rPr>
              <w:fldChar w:fldCharType="separate"/>
            </w:r>
            <w:r>
              <w:rPr>
                <w:rFonts w:ascii="Times New Roman" w:hAnsi="Times New Roman"/>
                <w:sz w:val="24"/>
                <w:u w:val="single"/>
                <w:shd w:val="clear" w:fill="FFFFFF"/>
              </w:rPr>
              <w:t>пунктом 47</w:t>
            </w:r>
            <w:r>
              <w:rPr>
                <w:rFonts w:ascii="Times New Roman" w:hAnsi="Times New Roman"/>
                <w:sz w:val="24"/>
                <w:u w:val="single"/>
                <w:shd w:val="clear" w:fill="FFFFFF"/>
              </w:rPr>
              <w:fldChar w:fldCharType="end"/>
            </w:r>
            <w:r>
              <w:rPr>
                <w:rFonts w:ascii="Times New Roman" w:hAnsi="Times New Roman"/>
                <w:sz w:val="24"/>
                <w:shd w:val="clear" w:fill="FFFFFF"/>
              </w:rPr>
              <w:t xml:space="preserve">  Особливостей.</w:t>
            </w:r>
            <w:r>
              <w:rPr>
                <w:rFonts w:ascii="Times New Roman" w:hAnsi="Times New Roman"/>
                <w:sz w:val="24"/>
              </w:rPr>
              <w:t> </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1.16 Всі документи тендерної пропозиції завантажуються в систему, подаються у сканованому вигляді у форматі PDF. </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За достовірність наданої інформації та документів відповідальність згідно чинного законодавства безпосередньо несе учасник.</w:t>
            </w:r>
          </w:p>
          <w:p>
            <w:pPr>
              <w:spacing w:lineRule="auto" w:line="240" w:after="0" w:beforeAutospacing="0" w:afterAutospacing="0"/>
              <w:ind w:firstLine="315"/>
              <w:jc w:val="both"/>
              <w:rPr>
                <w:rFonts w:ascii="Times New Roman" w:hAnsi="Times New Roman"/>
                <w:sz w:val="24"/>
              </w:rPr>
            </w:pP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tc>
      </w:tr>
      <w:tr>
        <w:trPr>
          <w:trHeight w:hRule="atLeast" w:val="410"/>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2</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Забезпечення тендерної пропозиції</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firstLine="425"/>
              <w:jc w:val="both"/>
              <w:rPr>
                <w:rFonts w:ascii="Times New Roman" w:hAnsi="Times New Roman"/>
                <w:sz w:val="24"/>
                <w:shd w:val="clear" w:fill="FFFFFF"/>
              </w:rPr>
            </w:pPr>
            <w:r>
              <w:rPr>
                <w:rFonts w:ascii="Times New Roman" w:hAnsi="Times New Roman"/>
                <w:sz w:val="24"/>
                <w:shd w:val="clear" w:fill="FFFFFF"/>
              </w:rPr>
              <w:t>Тендерна пропозиція Учасника обов’язково повинна містити документ, що підтверджує надання Учасником забезпечення тендерної пропозиції, яке має бути надане у формі покритої електронної банківської гарантії (далі – банківська гарантія).</w:t>
            </w:r>
          </w:p>
          <w:p>
            <w:pPr>
              <w:spacing w:lineRule="auto" w:line="240" w:after="0" w:beforeAutospacing="0" w:afterAutospacing="0"/>
              <w:ind w:firstLine="425"/>
              <w:jc w:val="both"/>
              <w:rPr>
                <w:rFonts w:ascii="Times New Roman" w:hAnsi="Times New Roman"/>
                <w:sz w:val="24"/>
                <w:shd w:val="clear" w:fill="FFFFFF"/>
              </w:rPr>
            </w:pPr>
            <w:r>
              <w:rPr>
                <w:rFonts w:ascii="Times New Roman" w:hAnsi="Times New Roman"/>
                <w:sz w:val="24"/>
                <w:shd w:val="clear" w:fill="FFFFFF"/>
              </w:rPr>
              <w:t>Форма та зміст банківської гарантії повинні відповідати наказу Міністерства розвитку економіки, торгівлі та сільського господарства України від 14 грудня 2020 р. № 2628, зареєстрованого в Міністерстві юстиції України 03 березня 2021 р. за № 275/35897 «Про затвердження форми і Вимог до забезпечення тендерної пропозиції / пропозиції» (з урахуванням постанови Правління Національного банку України від 15.12.2004 № 639, постанови Правління Національного банку України від 25.01.2018 року № 5).</w:t>
            </w:r>
          </w:p>
          <w:p>
            <w:pPr>
              <w:spacing w:lineRule="auto" w:line="240" w:after="0" w:beforeAutospacing="0" w:afterAutospacing="0"/>
              <w:ind w:firstLine="425"/>
              <w:jc w:val="both"/>
              <w:rPr>
                <w:rFonts w:ascii="Times New Roman" w:hAnsi="Times New Roman"/>
                <w:sz w:val="24"/>
                <w:shd w:val="clear" w:fill="FFFFFF"/>
              </w:rPr>
            </w:pPr>
            <w:r>
              <w:rPr>
                <w:rFonts w:ascii="Times New Roman" w:hAnsi="Times New Roman"/>
                <w:sz w:val="24"/>
                <w:shd w:val="clear" w:fill="FFFFFF"/>
              </w:rPr>
              <w:t>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а саме: електронний документ підписується шляхом накладання кваліфікованого електронного підпису, або кваліфікованої електронної печатки (у разі наявності), що прирівняні до власноручного підпису уповноваженої особи гаранта та його печатки відповідно. Строк дії банківської гарантії повинен бути не менше ніж строк, протягом якого тендерні пропозиції є дійсними*.</w:t>
            </w:r>
          </w:p>
          <w:p>
            <w:pPr>
              <w:spacing w:lineRule="auto" w:line="240" w:after="0" w:beforeAutospacing="0" w:afterAutospacing="0"/>
              <w:ind w:firstLine="425"/>
              <w:jc w:val="both"/>
              <w:rPr>
                <w:rFonts w:ascii="Times New Roman" w:hAnsi="Times New Roman"/>
                <w:sz w:val="24"/>
                <w:shd w:val="clear" w:fill="FFFFFF"/>
              </w:rPr>
            </w:pPr>
            <w:r>
              <w:rPr>
                <w:rFonts w:ascii="Times New Roman" w:hAnsi="Times New Roman"/>
                <w:sz w:val="24"/>
                <w:shd w:val="clear" w:fill="FFFFFF"/>
              </w:rPr>
              <w:t> </w:t>
            </w:r>
          </w:p>
          <w:p>
            <w:pPr>
              <w:spacing w:lineRule="auto" w:line="240" w:after="0" w:beforeAutospacing="0" w:afterAutospacing="0"/>
              <w:ind w:firstLine="425"/>
              <w:jc w:val="both"/>
              <w:rPr>
                <w:rFonts w:ascii="Times New Roman" w:hAnsi="Times New Roman"/>
                <w:sz w:val="24"/>
              </w:rPr>
            </w:pPr>
            <w:r>
              <w:rPr>
                <w:rFonts w:ascii="Times New Roman" w:hAnsi="Times New Roman"/>
                <w:sz w:val="24"/>
                <w:shd w:val="clear" w:fill="FFFFFF"/>
              </w:rPr>
              <w:t xml:space="preserve">Сума банківської гарантії: </w:t>
            </w:r>
            <w:r>
              <w:rPr>
                <w:rFonts w:ascii="Times New Roman" w:hAnsi="Times New Roman"/>
                <w:color w:val="auto"/>
                <w:sz w:val="24"/>
                <w:shd w:val="clear" w:fill="FFFFFF"/>
              </w:rPr>
              <w:t>17 860, 00</w:t>
            </w:r>
            <w:r>
              <w:rPr>
                <w:rFonts w:ascii="Times New Roman" w:hAnsi="Times New Roman"/>
                <w:color w:val="FF0000"/>
                <w:sz w:val="24"/>
                <w:shd w:val="clear" w:fill="FFFFFF"/>
              </w:rPr>
              <w:t xml:space="preserve"> </w:t>
            </w:r>
            <w:r>
              <w:rPr>
                <w:rFonts w:ascii="Times New Roman" w:hAnsi="Times New Roman"/>
                <w:sz w:val="24"/>
                <w:shd w:val="clear" w:fill="FFFFFF"/>
              </w:rPr>
              <w:t>грн. </w:t>
            </w:r>
          </w:p>
          <w:p>
            <w:pPr>
              <w:spacing w:lineRule="auto" w:line="240" w:after="0" w:beforeAutospacing="0" w:afterAutospacing="0"/>
              <w:rPr>
                <w:rFonts w:ascii="Times New Roman" w:hAnsi="Times New Roman"/>
                <w:sz w:val="24"/>
              </w:rPr>
            </w:pP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  БЕНЕФІЦІАР: </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Закарпатська регіональна державна лабораторія Держпродспоживслужби </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ЄДРПОУ 00698727</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Адреса (юридична, поштова): 88015, Україна, Закарпатська область, м. Ужгород, вул. Минайська, буд. 39. </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 Номер банківського рахунку бенефіціара:</w:t>
            </w:r>
          </w:p>
          <w:p>
            <w:pPr>
              <w:spacing w:lineRule="auto" w:line="240" w:after="0" w:beforeAutospacing="0" w:afterAutospacing="0"/>
              <w:ind w:firstLine="425"/>
              <w:jc w:val="both"/>
              <w:rPr>
                <w:rFonts w:ascii="Times New Roman" w:hAnsi="Times New Roman"/>
                <w:sz w:val="24"/>
              </w:rPr>
            </w:pPr>
            <w:r>
              <w:rPr>
                <w:rFonts w:ascii="Times New Roman" w:hAnsi="Times New Roman"/>
                <w:color w:val="000000"/>
                <w:sz w:val="24"/>
              </w:rPr>
              <w:t>IBAN UA 968201720343131004200018284</w:t>
            </w:r>
            <w:r>
              <w:rPr>
                <w:rFonts w:ascii="Times New Roman" w:hAnsi="Times New Roman"/>
              </w:rPr>
              <w:t xml:space="preserve"> </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в ДКСУ м. Києва, МФО 820172</w:t>
            </w:r>
          </w:p>
          <w:p>
            <w:pPr>
              <w:spacing w:lineRule="auto" w:line="240" w:after="0" w:beforeAutospacing="0" w:afterAutospacing="0"/>
              <w:ind w:firstLine="425"/>
              <w:jc w:val="both"/>
              <w:rPr>
                <w:rFonts w:ascii="Times New Roman" w:hAnsi="Times New Roman"/>
                <w:sz w:val="24"/>
              </w:rPr>
            </w:pP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Всі витрати по оформленню банківської гарантії  здійснюються за рахунок Учасника.</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*120 днів із дати кінцевого строку подання тендерних пропозицій</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sz w:val="24"/>
                <w:shd w:val="clear" w:fill="FFFFFF"/>
              </w:rPr>
            </w:pPr>
            <w:r>
              <w:rPr>
                <w:rFonts w:ascii="Times New Roman" w:hAnsi="Times New Roman"/>
                <w:sz w:val="24"/>
                <w:shd w:val="clear" w:fill="FFFFFF"/>
              </w:rPr>
              <w:t xml:space="preserve">Банківська гарантія, що надається банком, має бути надана: </w:t>
            </w:r>
          </w:p>
          <w:p>
            <w:pPr>
              <w:numPr>
                <w:ilvl w:val="0"/>
                <w:numId w:val="3"/>
              </w:numPr>
              <w:spacing w:lineRule="auto" w:line="240" w:before="100" w:after="100" w:beforeAutospacing="1" w:afterAutospacing="1"/>
              <w:rPr>
                <w:rFonts w:ascii="Times New Roman" w:hAnsi="Times New Roman"/>
                <w:sz w:val="24"/>
                <w:shd w:val="clear" w:fill="FFFFFF"/>
              </w:rPr>
            </w:pPr>
            <w:r>
              <w:rPr>
                <w:rFonts w:ascii="Times New Roman" w:hAnsi="Times New Roman"/>
                <w:sz w:val="24"/>
                <w:shd w:val="clear" w:fill="FFFFFF"/>
              </w:rPr>
              <w:t xml:space="preserve">банком-резидентом України, в якому держава прямо чи опосередковано володіє часткою понад 75% статутного капіталу банку, або </w:t>
            </w:r>
          </w:p>
          <w:p>
            <w:pPr>
              <w:numPr>
                <w:ilvl w:val="0"/>
                <w:numId w:val="3"/>
              </w:numPr>
              <w:spacing w:lineRule="auto" w:line="240" w:before="100" w:after="100" w:beforeAutospacing="1" w:afterAutospacing="1"/>
              <w:rPr>
                <w:rFonts w:ascii="Times New Roman" w:hAnsi="Times New Roman"/>
                <w:sz w:val="24"/>
                <w:shd w:val="clear" w:fill="FFFFFF"/>
              </w:rPr>
            </w:pPr>
            <w:r>
              <w:rPr>
                <w:rFonts w:ascii="Times New Roman" w:hAnsi="Times New Roman"/>
                <w:sz w:val="24"/>
                <w:shd w:val="clear" w:fill="FFFFFF"/>
              </w:rPr>
              <w:t xml:space="preserve">банком-резидентом України, який має довгостроковий кредитний рейтинг за національною шкалою не нижче «uaAAА»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 або </w:t>
            </w:r>
          </w:p>
          <w:p>
            <w:pPr>
              <w:numPr>
                <w:ilvl w:val="0"/>
                <w:numId w:val="3"/>
              </w:numPr>
              <w:spacing w:lineRule="auto" w:line="240" w:before="100" w:after="100" w:beforeAutospacing="1" w:afterAutospacing="1"/>
              <w:rPr>
                <w:rFonts w:ascii="Times New Roman" w:hAnsi="Times New Roman"/>
                <w:sz w:val="24"/>
                <w:shd w:val="clear" w:fill="FFFFFF"/>
              </w:rPr>
            </w:pPr>
            <w:r>
              <w:rPr>
                <w:rFonts w:ascii="Times New Roman" w:hAnsi="Times New Roman"/>
                <w:sz w:val="24"/>
                <w:shd w:val="clear" w:fill="FFFFFF"/>
              </w:rPr>
              <w:t xml:space="preserve">іноземним банком, який має кредитний рейтинг однієї з рейтингових компаній Fitch, Moody’s, S&amp;P не нижче підвищеного інвестиційного класу (А-або вищий). </w:t>
            </w:r>
          </w:p>
          <w:p>
            <w:pPr>
              <w:numPr>
                <w:ilvl w:val="0"/>
                <w:numId w:val="3"/>
              </w:numPr>
              <w:spacing w:lineRule="auto" w:line="240" w:before="100" w:after="100" w:beforeAutospacing="1" w:afterAutospacing="1"/>
              <w:rPr>
                <w:rFonts w:ascii="Times New Roman" w:hAnsi="Times New Roman"/>
                <w:sz w:val="24"/>
                <w:shd w:val="clear" w:fill="FFFFFF"/>
              </w:rPr>
            </w:pPr>
            <w:r>
              <w:rPr>
                <w:rFonts w:ascii="Times New Roman" w:hAnsi="Times New Roman"/>
                <w:sz w:val="24"/>
                <w:shd w:val="clear" w:fill="FFFFFF"/>
              </w:rPr>
              <w:t>банком, який за офіційними даними НБУ, повинен бути платоспроможним та не знаходитись в стадії ліквідації. На підтвердження у складі тендерної пропозиції має міститися лист від банку-гаранта щодо платоспроможності банку та не знаходження його в стадії ліквідації.</w:t>
            </w:r>
          </w:p>
          <w:p>
            <w:pPr>
              <w:spacing w:lineRule="auto" w:line="240" w:after="0" w:beforeAutospacing="0" w:afterAutospacing="0"/>
              <w:rPr>
                <w:rFonts w:ascii="Times New Roman" w:hAnsi="Times New Roman"/>
                <w:sz w:val="24"/>
              </w:rPr>
            </w:pPr>
            <w:r>
              <w:rPr>
                <w:rFonts w:ascii="Times New Roman" w:hAnsi="Times New Roman"/>
                <w:sz w:val="24"/>
                <w:shd w:val="clear" w:fill="FFFFFF"/>
              </w:rPr>
              <w:t xml:space="preserve">Разом з гарантією учасник у складі тендерної пропозиції повинен надати: </w:t>
              <w:br w:type="textWrapping"/>
              <w:t xml:space="preserve">- копію ліцензії, яка надає право фінансовій установі, що видала гарантію на провадження відповідного виду діяльності або копію рішення відповідного органу ліцензування про видачу такої ліцензії або копію витягу з Державного реєстру банків; </w:t>
              <w:br w:type="textWrapping"/>
              <w:t>- копії документів що підтверджують повноваження особи щодо підпису гарантії. У випадку якщо гарантія підписана не керівником фінансової установи, то повноваження особи, яка підписала гарантію, повинні бути підтверджені оригіналом довіреності (доручення) з накладенням кваліфікованого електронного підпису керівника фінансової установи, з урахуванням вимог Закону України «Про електронні документи та електронний документообіг» та Закону України «Про електронні довірчі послуги».</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3</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bookmarkStart w:id="4" w:name="_heading=h.2et92p0"/>
            <w:bookmarkEnd w:id="4"/>
            <w:r>
              <w:rPr>
                <w:rFonts w:ascii="Times New Roman" w:hAnsi="Times New Roman"/>
                <w:sz w:val="24"/>
              </w:rPr>
              <w:t>Умови повернення чи неповернення забезпечення тендерної пропозиції</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vAlign w:val="center"/>
          </w:tcPr>
          <w:p>
            <w:pPr>
              <w:spacing w:lineRule="auto" w:line="276" w:after="200" w:beforeAutospacing="0" w:afterAutospacing="0"/>
              <w:ind w:firstLine="425"/>
              <w:jc w:val="both"/>
              <w:rPr>
                <w:rFonts w:ascii="Times New Roman" w:hAnsi="Times New Roman"/>
                <w:color w:val="0000FF"/>
              </w:rPr>
            </w:pPr>
            <w:r>
              <w:rPr>
                <w:rFonts w:ascii="Times New Roman" w:hAnsi="Times New Roman"/>
                <w:sz w:val="24"/>
              </w:rPr>
              <w:t xml:space="preserve">Відповідно до статті 25 Закону з урахуванням положень пункту  47  Особливостей</w:t>
            </w:r>
          </w:p>
          <w:p>
            <w:pPr>
              <w:spacing w:lineRule="auto" w:line="276" w:after="200" w:beforeAutospacing="0" w:afterAutospacing="0"/>
              <w:ind w:firstLine="425"/>
              <w:jc w:val="both"/>
              <w:rPr>
                <w:rFonts w:ascii="Times New Roman" w:hAnsi="Times New Roman"/>
                <w:sz w:val="24"/>
              </w:rPr>
            </w:pPr>
            <w:r>
              <w:rPr>
                <w:rFonts w:ascii="Times New Roman" w:hAnsi="Times New Roman"/>
                <w:sz w:val="24"/>
              </w:rPr>
              <w:t>3.1. Забезпечення тендерної пропозиції повертається учаснику в разі:</w:t>
            </w:r>
          </w:p>
          <w:p>
            <w:pPr>
              <w:spacing w:lineRule="auto" w:line="276" w:after="200" w:beforeAutospacing="0" w:afterAutospacing="0"/>
              <w:ind w:firstLine="425"/>
              <w:jc w:val="both"/>
              <w:rPr>
                <w:rFonts w:ascii="Times New Roman" w:hAnsi="Times New Roman"/>
                <w:sz w:val="24"/>
              </w:rPr>
            </w:pPr>
            <w:r>
              <w:rPr>
                <w:rFonts w:ascii="Times New Roman" w:hAnsi="Times New Roman"/>
                <w:sz w:val="24"/>
              </w:rPr>
              <w:t>1) закінчення строку дії тендерної пропозиції та забезпечення тендерної пропозиції, зазначеного в тендерній документації;</w:t>
            </w:r>
          </w:p>
          <w:p>
            <w:pPr>
              <w:spacing w:lineRule="auto" w:line="276" w:after="200" w:beforeAutospacing="0" w:afterAutospacing="0"/>
              <w:ind w:firstLine="425"/>
              <w:jc w:val="both"/>
              <w:rPr>
                <w:rFonts w:ascii="Times New Roman" w:hAnsi="Times New Roman"/>
                <w:sz w:val="24"/>
              </w:rPr>
            </w:pPr>
            <w:r>
              <w:rPr>
                <w:rFonts w:ascii="Times New Roman" w:hAnsi="Times New Roman"/>
                <w:sz w:val="24"/>
              </w:rPr>
              <w:t>2) укладення договору про закупівлю з учасником, який став переможцем процедури закупівлі (крім переговорної процедури закупівлі);</w:t>
            </w:r>
          </w:p>
          <w:p>
            <w:pPr>
              <w:spacing w:lineRule="auto" w:line="276" w:after="200" w:beforeAutospacing="0" w:afterAutospacing="0"/>
              <w:ind w:firstLine="425"/>
              <w:jc w:val="both"/>
              <w:rPr>
                <w:rFonts w:ascii="Times New Roman" w:hAnsi="Times New Roman"/>
                <w:sz w:val="24"/>
              </w:rPr>
            </w:pPr>
            <w:r>
              <w:rPr>
                <w:rFonts w:ascii="Times New Roman" w:hAnsi="Times New Roman"/>
                <w:sz w:val="24"/>
              </w:rPr>
              <w:t>3) відкликання тендерної пропозиції до закінчення строку її подання;</w:t>
            </w:r>
          </w:p>
          <w:p>
            <w:pPr>
              <w:spacing w:lineRule="auto" w:line="276" w:after="200" w:beforeAutospacing="0" w:afterAutospacing="0"/>
              <w:ind w:firstLine="425"/>
              <w:jc w:val="both"/>
              <w:rPr>
                <w:rFonts w:ascii="Times New Roman" w:hAnsi="Times New Roman"/>
                <w:sz w:val="24"/>
              </w:rPr>
            </w:pPr>
            <w:r>
              <w:rPr>
                <w:rFonts w:ascii="Times New Roman" w:hAnsi="Times New Roman"/>
                <w:sz w:val="24"/>
              </w:rPr>
              <w:t>4) закінчення тендеру в разі неукладення договору про закупівлю з жодним з учасників, які подали тендерні пропозиції.</w:t>
            </w:r>
          </w:p>
          <w:p>
            <w:pPr>
              <w:spacing w:lineRule="auto" w:line="276" w:after="200" w:beforeAutospacing="0" w:afterAutospacing="0"/>
              <w:ind w:firstLine="425"/>
              <w:jc w:val="both"/>
              <w:rPr>
                <w:rFonts w:ascii="Times New Roman" w:hAnsi="Times New Roman"/>
                <w:sz w:val="24"/>
              </w:rPr>
            </w:pPr>
            <w:r>
              <w:rPr>
                <w:rFonts w:ascii="Times New Roman" w:hAnsi="Times New Roman"/>
                <w:sz w:val="24"/>
              </w:rPr>
              <w:t>3.2. Забезпечення тендерної пропозиції не повертається у разі:</w:t>
            </w:r>
          </w:p>
          <w:p>
            <w:pPr>
              <w:spacing w:lineRule="auto" w:line="276" w:after="200" w:beforeAutospacing="0" w:afterAutospacing="0"/>
              <w:ind w:firstLine="425"/>
              <w:jc w:val="both"/>
              <w:rPr>
                <w:rFonts w:ascii="Times New Roman" w:hAnsi="Times New Roman"/>
                <w:sz w:val="24"/>
              </w:rPr>
            </w:pPr>
            <w:r>
              <w:rPr>
                <w:rFonts w:ascii="Times New Roman" w:hAnsi="Times New Roman"/>
                <w:sz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pPr>
              <w:spacing w:lineRule="auto" w:line="276" w:after="200" w:beforeAutospacing="0" w:afterAutospacing="0"/>
              <w:ind w:firstLine="425"/>
              <w:jc w:val="both"/>
              <w:rPr>
                <w:rFonts w:ascii="Times New Roman" w:hAnsi="Times New Roman"/>
                <w:sz w:val="24"/>
              </w:rPr>
            </w:pPr>
            <w:r>
              <w:rPr>
                <w:rFonts w:ascii="Times New Roman" w:hAnsi="Times New Roman"/>
                <w:sz w:val="24"/>
              </w:rPr>
              <w:t>2) непідписання договору про закупівлю учасником, який став переможцем тендеру;</w:t>
            </w:r>
          </w:p>
          <w:p>
            <w:pPr>
              <w:spacing w:lineRule="auto" w:line="276" w:after="200" w:beforeAutospacing="0" w:afterAutospacing="0"/>
              <w:ind w:firstLine="425"/>
              <w:jc w:val="both"/>
              <w:rPr>
                <w:rFonts w:ascii="Times New Roman" w:hAnsi="Times New Roman"/>
                <w:sz w:val="24"/>
              </w:rPr>
            </w:pPr>
            <w:r>
              <w:rPr>
                <w:rFonts w:ascii="Times New Roman" w:hAnsi="Times New Roman"/>
                <w:sz w:val="24"/>
              </w:rPr>
              <w:t>3) ненадання переможцем процедури закупівлі документів, що підтверджують відсутність підстав, установлених пунктом 47 Особливостей.</w:t>
            </w:r>
          </w:p>
          <w:p>
            <w:pPr>
              <w:spacing w:lineRule="auto" w:line="276" w:after="200" w:beforeAutospacing="0" w:afterAutospacing="0"/>
              <w:ind w:firstLine="425"/>
              <w:jc w:val="both"/>
              <w:rPr>
                <w:rFonts w:ascii="Times New Roman" w:hAnsi="Times New Roman"/>
                <w:sz w:val="24"/>
              </w:rPr>
            </w:pPr>
            <w:r>
              <w:rPr>
                <w:rFonts w:ascii="Times New Roman" w:hAnsi="Times New Roman"/>
                <w:sz w:val="24"/>
              </w:rPr>
              <w:t>4)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pPr>
              <w:spacing w:lineRule="auto" w:line="276" w:after="200" w:beforeAutospacing="0" w:afterAutospacing="0"/>
              <w:ind w:firstLine="425"/>
              <w:jc w:val="both"/>
              <w:rPr>
                <w:rFonts w:ascii="Times New Roman" w:hAnsi="Times New Roman"/>
              </w:rPr>
            </w:pPr>
            <w:r>
              <w:rPr>
                <w:rFonts w:ascii="Times New Roman" w:hAnsi="Times New Roman"/>
                <w:sz w:val="24"/>
              </w:rPr>
              <w:t xml:space="preserve">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w:t>
            </w:r>
            <w:r>
              <w:rPr>
                <w:rFonts w:ascii="Times New Roman" w:hAnsi="Times New Roman"/>
              </w:rPr>
              <w:t xml:space="preserve">четвертою статті 25 Закону. </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r>
              <w:rPr>
                <w:rFonts w:ascii="Times New Roman" w:hAnsi="Times New Roman"/>
                <w:i w:val="1"/>
                <w:sz w:val="24"/>
              </w:rPr>
              <w:t xml:space="preserve"> </w:t>
            </w:r>
          </w:p>
          <w:p>
            <w:pPr>
              <w:spacing w:lineRule="auto" w:line="240" w:after="0" w:beforeAutospacing="0" w:afterAutospacing="0"/>
              <w:ind w:firstLine="425"/>
              <w:jc w:val="both"/>
              <w:rPr>
                <w:rFonts w:ascii="Times New Roman" w:hAnsi="Times New Roman"/>
                <w:sz w:val="24"/>
              </w:rPr>
            </w:pPr>
          </w:p>
          <w:p>
            <w:pPr>
              <w:spacing w:lineRule="auto" w:line="240" w:after="0" w:beforeAutospacing="0" w:afterAutospacing="0"/>
              <w:ind w:firstLine="425"/>
              <w:jc w:val="both"/>
              <w:rPr>
                <w:rFonts w:ascii="Times New Roman" w:hAnsi="Times New Roman"/>
                <w:sz w:val="24"/>
              </w:rPr>
            </w:pPr>
          </w:p>
        </w:tc>
      </w:tr>
      <w:tr>
        <w:trPr>
          <w:trHeight w:hRule="atLeast" w:val="1550"/>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4</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Строк, протягом якого тендерні пропозиції є дійсними</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firstLine="177"/>
              <w:jc w:val="both"/>
              <w:rPr>
                <w:rFonts w:ascii="Times New Roman" w:hAnsi="Times New Roman"/>
                <w:sz w:val="24"/>
              </w:rPr>
            </w:pPr>
            <w:r>
              <w:rPr>
                <w:rFonts w:ascii="Times New Roman" w:hAnsi="Times New Roman"/>
                <w:sz w:val="24"/>
              </w:rPr>
              <w:t>1.1. Тендерні пропозиції повинні бути дійсними протягом 120 робочих днів із дати кінцевого строку подання тендерних пропозицій.</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1.2.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відхилити таку вимогу, не втрачаючи при цьому наданого ним забезпечення тендерної пропозиції;</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погодитися з вимогою та продовжити строк дії поданої ним тендерної пропозиції і наданого забезпечення тендерної пропозиції.</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Кваліфікаційні критерії до учасників та вимоги, встановлені пункту 47 Особливостей</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firstLine="141" w:right="113"/>
              <w:jc w:val="both"/>
              <w:rPr>
                <w:rFonts w:ascii="Times New Roman" w:hAnsi="Times New Roman"/>
                <w:sz w:val="24"/>
              </w:rPr>
            </w:pPr>
            <w:r>
              <w:rPr>
                <w:rFonts w:ascii="Times New Roman" w:hAnsi="Times New Roman"/>
                <w:sz w:val="24"/>
              </w:rPr>
              <w:t>Кваліфікаційні критерії та вимоги до учасників визначені відповідно до статті 16 Закону та пункту 47 Особливостей. </w:t>
            </w:r>
          </w:p>
          <w:p>
            <w:pPr>
              <w:spacing w:lineRule="auto" w:line="240" w:after="0" w:beforeAutospacing="0" w:afterAutospacing="0"/>
              <w:ind w:firstLine="141" w:right="113"/>
              <w:jc w:val="both"/>
              <w:rPr>
                <w:rFonts w:ascii="Times New Roman" w:hAnsi="Times New Roman"/>
                <w:sz w:val="24"/>
              </w:rPr>
            </w:pPr>
            <w:r>
              <w:rPr>
                <w:rFonts w:ascii="Times New Roman" w:hAnsi="Times New Roman"/>
                <w:sz w:val="24"/>
              </w:rPr>
              <w:t>Перелік документів, що підтверджує інформацію учасника  щодо відповідності встановленим кваліфікаційним критеріям та вимогам до учасника наведено у Додатку І.</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6</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Інформація про технічні, якісні та кількісні характеристики предмета закупівлі</w:t>
            </w:r>
          </w:p>
          <w:p>
            <w:pPr>
              <w:spacing w:lineRule="auto" w:line="240" w:after="0" w:beforeAutospacing="0" w:afterAutospacing="0"/>
              <w:rPr>
                <w:rFonts w:ascii="Times New Roman" w:hAnsi="Times New Roman"/>
                <w:sz w:val="24"/>
              </w:rPr>
            </w:pP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firstLine="177" w:right="113"/>
              <w:jc w:val="both"/>
              <w:rPr>
                <w:rFonts w:ascii="Times New Roman" w:hAnsi="Times New Roman"/>
                <w:sz w:val="24"/>
              </w:rPr>
            </w:pPr>
            <w:r>
              <w:rPr>
                <w:rFonts w:ascii="Times New Roman" w:hAnsi="Times New Roman"/>
                <w:sz w:val="24"/>
              </w:rPr>
              <w:t>Технічні вимоги до предмета закупівлі викладено у Додатку ІІ тендерної документації.</w:t>
            </w:r>
          </w:p>
          <w:p>
            <w:pPr>
              <w:spacing w:lineRule="auto" w:line="240" w:after="0" w:beforeAutospacing="0" w:afterAutospacing="0"/>
              <w:ind w:firstLine="177" w:right="113"/>
              <w:jc w:val="both"/>
              <w:rPr>
                <w:rFonts w:ascii="Times New Roman" w:hAnsi="Times New Roman"/>
                <w:sz w:val="24"/>
              </w:rPr>
            </w:pPr>
            <w:r>
              <w:rPr>
                <w:rFonts w:ascii="Times New Roman" w:hAnsi="Times New Roman"/>
                <w:sz w:val="24"/>
              </w:rPr>
              <w:t>Відповідно до статті 23 Закону якщо замовник посилається в тендерній документації на конкретні маркування, протоколи випробувань чи сертифікати, він зобов’язаний прийняти маркування, протоколи випробувань чи сертифікати, що підтверджують відповідність еквівалентним вимогам.</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7</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Інформація про субпідрядника (у випадку закупівлі робіт/послуг)</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w:t>
            </w:r>
          </w:p>
        </w:tc>
      </w:tr>
      <w:tr>
        <w:trPr>
          <w:trHeight w:hRule="atLeast" w:val="13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8</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Унесення змін або відкликання тендерної пропозиції учасником</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firstLine="176" w:right="113"/>
              <w:jc w:val="both"/>
              <w:rPr>
                <w:rFonts w:ascii="Times New Roman" w:hAnsi="Times New Roman"/>
                <w:sz w:val="24"/>
              </w:rPr>
            </w:pPr>
            <w:r>
              <w:rPr>
                <w:rFonts w:ascii="Times New Roman" w:hAnsi="Times New Roman"/>
                <w:sz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spacing w:lineRule="auto" w:line="240" w:after="0" w:beforeAutospacing="0" w:afterAutospacing="0"/>
              <w:ind w:firstLine="176" w:right="113"/>
              <w:jc w:val="both"/>
              <w:rPr>
                <w:rFonts w:ascii="Times New Roman" w:hAnsi="Times New Roman"/>
                <w:sz w:val="24"/>
              </w:rPr>
            </w:pPr>
          </w:p>
          <w:p>
            <w:pPr>
              <w:spacing w:lineRule="auto" w:line="240" w:after="0" w:beforeAutospacing="0" w:afterAutospacing="0"/>
              <w:ind w:firstLine="176" w:right="113"/>
              <w:jc w:val="both"/>
              <w:rPr>
                <w:rFonts w:ascii="Times New Roman" w:hAnsi="Times New Roman"/>
                <w:sz w:val="24"/>
              </w:rPr>
            </w:pPr>
          </w:p>
        </w:tc>
      </w:tr>
      <w:tr>
        <w:trPr>
          <w:trHeight w:hRule="atLeast" w:val="140"/>
          <w:jc w:val="center"/>
        </w:trPr>
        <w:tc>
          <w:tcPr>
            <w:tcW w:w="9629"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hanging="23" w:left="11" w:right="113"/>
              <w:rPr>
                <w:rFonts w:ascii="Times New Roman" w:hAnsi="Times New Roman"/>
                <w:sz w:val="24"/>
              </w:rPr>
            </w:pPr>
            <w:r>
              <w:rPr>
                <w:rFonts w:ascii="Times New Roman" w:hAnsi="Times New Roman"/>
                <w:b w:val="1"/>
                <w:sz w:val="24"/>
              </w:rPr>
              <w:t>Розділ ІV. Подання та розкриття тендерної пропозиції</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1</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Кінцевий строк подання тендерної пропозиції</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20"/>
              <w:jc w:val="both"/>
              <w:rPr>
                <w:rFonts w:ascii="Times New Roman" w:hAnsi="Times New Roman"/>
                <w:sz w:val="24"/>
              </w:rPr>
            </w:pPr>
            <w:r>
              <w:rPr>
                <w:rFonts w:ascii="Times New Roman" w:hAnsi="Times New Roman"/>
                <w:sz w:val="24"/>
              </w:rPr>
              <w:t>Кінцевий строк подання тендерних пропозицій визначається електронною системою закупівель автоматично).</w:t>
            </w:r>
          </w:p>
          <w:p>
            <w:pPr>
              <w:spacing w:lineRule="auto" w:line="240" w:after="0" w:beforeAutospacing="0" w:afterAutospacing="0"/>
              <w:ind w:right="120"/>
              <w:jc w:val="both"/>
              <w:rPr>
                <w:rFonts w:ascii="Times New Roman" w:hAnsi="Times New Roman"/>
                <w:sz w:val="24"/>
              </w:rPr>
            </w:pPr>
            <w:r>
              <w:rPr>
                <w:rFonts w:ascii="Times New Roman" w:hAnsi="Times New Roman"/>
                <w:sz w:val="24"/>
              </w:rPr>
              <w:t>Отримана тендерна пропозиція автоматично вноситься до реєстру.</w:t>
            </w:r>
          </w:p>
          <w:p>
            <w:pPr>
              <w:spacing w:lineRule="auto" w:line="240" w:after="0" w:beforeAutospacing="0" w:afterAutospacing="0"/>
              <w:ind w:firstLine="176" w:right="113"/>
              <w:jc w:val="both"/>
              <w:rPr>
                <w:rFonts w:ascii="Times New Roman" w:hAnsi="Times New Roman"/>
                <w:sz w:val="24"/>
                <w:u w:val="single"/>
              </w:rPr>
            </w:pPr>
            <w:r>
              <w:rPr>
                <w:rFonts w:ascii="Times New Roman" w:hAnsi="Times New Roman"/>
                <w:sz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2</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Дата та час розкриття тендерної пропозиції</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firstLine="176" w:left="34" w:right="113"/>
              <w:jc w:val="both"/>
              <w:rPr>
                <w:rFonts w:ascii="Times New Roman" w:hAnsi="Times New Roman"/>
                <w:b w:val="1"/>
                <w:sz w:val="24"/>
                <w:shd w:val="clear" w:fill="FFFFFF"/>
              </w:rPr>
            </w:pPr>
            <w:r>
              <w:rPr>
                <w:rFonts w:ascii="Times New Roman" w:hAnsi="Times New Roman"/>
                <w:sz w:val="24"/>
                <w:shd w:val="clear"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trPr>
          <w:trHeight w:hRule="atLeast" w:val="168"/>
          <w:jc w:val="center"/>
        </w:trPr>
        <w:tc>
          <w:tcPr>
            <w:tcW w:w="9629"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b w:val="1"/>
                <w:sz w:val="24"/>
              </w:rPr>
              <w:t>Розділ V. Оцінка тендерної пропозиції</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1</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Перелік критеріїв та методика оцінки тендерної пропозиції із зазначенням питомої ваги критерію</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shd w:val="clear"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hAnsi="Times New Roman"/>
                <w:sz w:val="24"/>
              </w:rPr>
              <w:t> </w:t>
            </w:r>
          </w:p>
          <w:p>
            <w:pPr>
              <w:spacing w:lineRule="auto" w:line="240" w:after="0" w:beforeAutospacing="0" w:afterAutospacing="0"/>
              <w:ind w:right="113"/>
              <w:jc w:val="both"/>
              <w:rPr>
                <w:rFonts w:ascii="Times New Roman" w:hAnsi="Times New Roman"/>
                <w:sz w:val="24"/>
              </w:rPr>
            </w:pPr>
            <w:r>
              <w:rPr>
                <w:rFonts w:ascii="Times New Roman" w:hAnsi="Times New Roman"/>
                <w:sz w:val="24"/>
              </w:rPr>
              <w:t>Єдиним критерієм оцінки згідно даної процедури відкритих торгів є ціна. </w:t>
            </w:r>
            <w:r>
              <w:rPr>
                <w:rFonts w:ascii="Times New Roman" w:hAnsi="Times New Roman"/>
                <w:sz w:val="24"/>
              </w:rPr>
              <w:t>Питома вага критерію "Ціна" дор</w:t>
            </w:r>
            <w:r>
              <w:rPr>
                <w:rFonts w:ascii="Times New Roman" w:hAnsi="Times New Roman"/>
                <w:sz w:val="24"/>
              </w:rPr>
              <w:t>івнює 100%.</w:t>
            </w:r>
          </w:p>
          <w:p>
            <w:pPr>
              <w:spacing w:lineRule="auto" w:line="240" w:after="0" w:beforeAutospacing="0" w:afterAutospacing="0"/>
              <w:ind w:right="113"/>
              <w:jc w:val="both"/>
              <w:rPr>
                <w:rFonts w:ascii="Times New Roman" w:hAnsi="Times New Roman"/>
                <w:sz w:val="24"/>
              </w:rPr>
            </w:pPr>
            <w:r>
              <w:rPr>
                <w:rFonts w:ascii="Times New Roman" w:hAnsi="Times New Roman"/>
                <w:sz w:val="24"/>
              </w:rPr>
              <w:t>До оцінки тендерних пропозицій приймається сума без податку на додану вартість (ПДВ),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інших податків та зборів, що передбачені чинним законодавством, та мають бути включені таким учасником до вартості товарів, робіт або послуг.</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2</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Інша інформація</w:t>
            </w:r>
          </w:p>
          <w:p>
            <w:pPr>
              <w:spacing w:lineRule="auto" w:line="240" w:after="0" w:beforeAutospacing="0" w:afterAutospacing="0"/>
              <w:rPr>
                <w:rFonts w:ascii="Times New Roman" w:hAnsi="Times New Roman"/>
                <w:sz w:val="24"/>
              </w:rPr>
            </w:pP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sz w:val="24"/>
              </w:rPr>
              <w:t>Витрати учасника, пов'язані з підготовкою та поданням тендерної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Замовником (в тому числі і у разі відміни торгів чи визнання торгів такими, що не відбулися).</w:t>
            </w:r>
          </w:p>
          <w:p>
            <w:pPr>
              <w:spacing w:lineRule="auto" w:line="240" w:after="0" w:beforeAutospacing="0" w:afterAutospacing="0"/>
              <w:jc w:val="both"/>
              <w:rPr>
                <w:rFonts w:ascii="Times New Roman" w:hAnsi="Times New Roman"/>
                <w:sz w:val="24"/>
              </w:rPr>
            </w:pPr>
            <w:r>
              <w:rPr>
                <w:rFonts w:ascii="Times New Roman" w:hAnsi="Times New Roman"/>
                <w:sz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3</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Відхилення тендерних пропозицій</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Замовник відхиляє тендерну пропозицію із зазначенням аргументації в електронній системі закупівель у разі, коли:</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1) учасник процедури закупівлі:</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підпадає під підстави, встановлені </w:t>
            </w:r>
            <w:r>
              <w:rPr>
                <w:rFonts w:ascii="Times New Roman" w:hAnsi="Times New Roman"/>
                <w:sz w:val="24"/>
              </w:rPr>
              <w:fldChar w:fldCharType="begin"/>
            </w:r>
            <w:r>
              <w:rPr>
                <w:rFonts w:ascii="Times New Roman" w:hAnsi="Times New Roman"/>
                <w:sz w:val="24"/>
              </w:rPr>
              <w:instrText>HYPERLINK "https://zakon.rada.gov.ua/laws/show/1178-2022-%D0%BF" \l "n615"</w:instrText>
            </w:r>
            <w:r>
              <w:rPr>
                <w:rFonts w:ascii="Times New Roman" w:hAnsi="Times New Roman"/>
                <w:sz w:val="24"/>
              </w:rPr>
              <w:fldChar w:fldCharType="separate"/>
            </w:r>
            <w:r>
              <w:rPr>
                <w:rFonts w:ascii="Times New Roman" w:hAnsi="Times New Roman"/>
                <w:sz w:val="24"/>
                <w:u w:val="single"/>
              </w:rPr>
              <w:t>пунктом 47</w:t>
            </w:r>
            <w:r>
              <w:rPr>
                <w:rFonts w:ascii="Times New Roman" w:hAnsi="Times New Roman"/>
                <w:sz w:val="24"/>
                <w:u w:val="single"/>
              </w:rPr>
              <w:fldChar w:fldCharType="end"/>
            </w:r>
            <w:r>
              <w:rPr>
                <w:rFonts w:ascii="Times New Roman" w:hAnsi="Times New Roman"/>
                <w:sz w:val="24"/>
              </w:rPr>
              <w:t xml:space="preserve"> Особливостей;</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Pr>
                <w:rFonts w:ascii="Times New Roman" w:hAnsi="Times New Roman"/>
                <w:sz w:val="24"/>
              </w:rPr>
              <w:fldChar w:fldCharType="begin"/>
            </w:r>
            <w:r>
              <w:rPr>
                <w:rFonts w:ascii="Times New Roman" w:hAnsi="Times New Roman"/>
                <w:sz w:val="24"/>
              </w:rPr>
              <w:instrText>HYPERLINK "https://zakon.rada.gov.ua/laws/show/1178-2022-%D0%BF" \l "n586"</w:instrText>
            </w:r>
            <w:r>
              <w:rPr>
                <w:rFonts w:ascii="Times New Roman" w:hAnsi="Times New Roman"/>
                <w:sz w:val="24"/>
              </w:rPr>
              <w:fldChar w:fldCharType="separate"/>
            </w:r>
            <w:r>
              <w:rPr>
                <w:rFonts w:ascii="Times New Roman" w:hAnsi="Times New Roman"/>
                <w:sz w:val="24"/>
                <w:u w:val="single"/>
              </w:rPr>
              <w:t>абзацом першим</w:t>
            </w:r>
            <w:r>
              <w:rPr>
                <w:rFonts w:ascii="Times New Roman" w:hAnsi="Times New Roman"/>
                <w:sz w:val="24"/>
                <w:u w:val="single"/>
              </w:rPr>
              <w:fldChar w:fldCharType="end"/>
            </w:r>
            <w:r>
              <w:rPr>
                <w:rFonts w:ascii="Times New Roman" w:hAnsi="Times New Roman"/>
                <w:sz w:val="24"/>
              </w:rPr>
              <w:t xml:space="preserve"> пункту 42 Особливостей;</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не надав забезпечення тендерної пропозиції, якщо таке забезпечення вимагалося замовником;</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не надав обґрунтування аномально низької ціни тендерної пропозиції протягом строку, визначеного </w:t>
            </w:r>
            <w:r>
              <w:rPr>
                <w:rFonts w:ascii="Times New Roman" w:hAnsi="Times New Roman"/>
                <w:sz w:val="24"/>
              </w:rPr>
              <w:fldChar w:fldCharType="begin"/>
            </w:r>
            <w:r>
              <w:rPr>
                <w:rFonts w:ascii="Times New Roman" w:hAnsi="Times New Roman"/>
                <w:sz w:val="24"/>
              </w:rPr>
              <w:instrText>HYPERLINK "https://zakon.rada.gov.ua/laws/show/922-19" \l "n1543"</w:instrText>
            </w:r>
            <w:r>
              <w:rPr>
                <w:rFonts w:ascii="Times New Roman" w:hAnsi="Times New Roman"/>
                <w:sz w:val="24"/>
              </w:rPr>
              <w:fldChar w:fldCharType="separate"/>
            </w:r>
            <w:r>
              <w:rPr>
                <w:rFonts w:ascii="Times New Roman" w:hAnsi="Times New Roman"/>
                <w:sz w:val="24"/>
                <w:u w:val="single"/>
              </w:rPr>
              <w:t>абзацом першим</w:t>
            </w:r>
            <w:r>
              <w:rPr>
                <w:rFonts w:ascii="Times New Roman" w:hAnsi="Times New Roman"/>
                <w:sz w:val="24"/>
                <w:u w:val="single"/>
              </w:rPr>
              <w:fldChar w:fldCharType="end"/>
            </w:r>
            <w:r>
              <w:rPr>
                <w:rFonts w:ascii="Times New Roman" w:hAnsi="Times New Roman"/>
                <w:sz w:val="24"/>
              </w:rPr>
              <w:t xml:space="preserve"> частини чотирнадцятої статті 29 Закону/</w:t>
            </w:r>
            <w:r>
              <w:rPr>
                <w:rFonts w:ascii="Times New Roman" w:hAnsi="Times New Roman"/>
                <w:sz w:val="24"/>
              </w:rPr>
              <w:fldChar w:fldCharType="begin"/>
            </w:r>
            <w:r>
              <w:rPr>
                <w:rFonts w:ascii="Times New Roman" w:hAnsi="Times New Roman"/>
                <w:sz w:val="24"/>
              </w:rPr>
              <w:instrText>HYPERLINK "https://zakon.rada.gov.ua/laws/show/1178-2022-%D0%BF" \l "n581"</w:instrText>
            </w:r>
            <w:r>
              <w:rPr>
                <w:rFonts w:ascii="Times New Roman" w:hAnsi="Times New Roman"/>
                <w:sz w:val="24"/>
              </w:rPr>
              <w:fldChar w:fldCharType="separate"/>
            </w:r>
            <w:r>
              <w:rPr>
                <w:rFonts w:ascii="Times New Roman" w:hAnsi="Times New Roman"/>
                <w:sz w:val="24"/>
                <w:u w:val="single"/>
              </w:rPr>
              <w:t>абзацом дев’ятим</w:t>
            </w:r>
            <w:r>
              <w:rPr>
                <w:rFonts w:ascii="Times New Roman" w:hAnsi="Times New Roman"/>
                <w:sz w:val="24"/>
                <w:u w:val="single"/>
              </w:rPr>
              <w:fldChar w:fldCharType="end"/>
            </w:r>
            <w:r>
              <w:rPr>
                <w:rFonts w:ascii="Times New Roman" w:hAnsi="Times New Roman"/>
                <w:sz w:val="24"/>
              </w:rPr>
              <w:t xml:space="preserve"> пункту 37 Особливостей;</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визначив конфіденційною інформацію, що не може бути визначена як конфіденційна відповідно до вимог </w:t>
            </w:r>
            <w:r>
              <w:rPr>
                <w:rFonts w:ascii="Times New Roman" w:hAnsi="Times New Roman"/>
                <w:sz w:val="24"/>
              </w:rPr>
              <w:fldChar w:fldCharType="begin"/>
            </w:r>
            <w:r>
              <w:rPr>
                <w:rFonts w:ascii="Times New Roman" w:hAnsi="Times New Roman"/>
                <w:sz w:val="24"/>
              </w:rPr>
              <w:instrText>HYPERLINK "https://zakon.rada.gov.ua/laws/show/1178-2022-%D0%BF" \l "n584"</w:instrText>
            </w:r>
            <w:r>
              <w:rPr>
                <w:rFonts w:ascii="Times New Roman" w:hAnsi="Times New Roman"/>
                <w:sz w:val="24"/>
              </w:rPr>
              <w:fldChar w:fldCharType="separate"/>
            </w:r>
            <w:r>
              <w:rPr>
                <w:rFonts w:ascii="Times New Roman" w:hAnsi="Times New Roman"/>
                <w:sz w:val="24"/>
                <w:u w:val="single"/>
              </w:rPr>
              <w:t>пункту 40</w:t>
            </w:r>
            <w:r>
              <w:rPr>
                <w:rFonts w:ascii="Times New Roman" w:hAnsi="Times New Roman"/>
                <w:sz w:val="24"/>
                <w:u w:val="single"/>
              </w:rPr>
              <w:fldChar w:fldCharType="end"/>
            </w:r>
            <w:r>
              <w:rPr>
                <w:rFonts w:ascii="Times New Roman" w:hAnsi="Times New Roman"/>
                <w:sz w:val="24"/>
              </w:rPr>
              <w:t xml:space="preserve"> Особливостей;</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2) тендерна пропозиція:</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rFonts w:ascii="Times New Roman" w:hAnsi="Times New Roman"/>
                <w:sz w:val="24"/>
              </w:rPr>
              <w:fldChar w:fldCharType="begin"/>
            </w:r>
            <w:r>
              <w:rPr>
                <w:rFonts w:ascii="Times New Roman" w:hAnsi="Times New Roman"/>
                <w:sz w:val="24"/>
              </w:rPr>
              <w:instrText>HYPERLINK "https://zakon.rada.gov.ua/laws/show/1178-2022-%D0%BF" \l "n588"</w:instrText>
            </w:r>
            <w:r>
              <w:rPr>
                <w:rFonts w:ascii="Times New Roman" w:hAnsi="Times New Roman"/>
                <w:sz w:val="24"/>
              </w:rPr>
              <w:fldChar w:fldCharType="separate"/>
            </w:r>
            <w:r>
              <w:rPr>
                <w:rFonts w:ascii="Times New Roman" w:hAnsi="Times New Roman"/>
                <w:sz w:val="24"/>
                <w:u w:val="single"/>
              </w:rPr>
              <w:t>пункту 43</w:t>
            </w:r>
            <w:r>
              <w:rPr>
                <w:rFonts w:ascii="Times New Roman" w:hAnsi="Times New Roman"/>
                <w:sz w:val="24"/>
                <w:u w:val="single"/>
              </w:rPr>
              <w:fldChar w:fldCharType="end"/>
            </w:r>
            <w:r>
              <w:rPr>
                <w:rFonts w:ascii="Times New Roman" w:hAnsi="Times New Roman"/>
                <w:sz w:val="24"/>
              </w:rPr>
              <w:t xml:space="preserve"> цих особливостей;</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є такою, строк дії якої закінчився;</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не відповідає вимогам, установленим у тендерній документації відповідно до </w:t>
            </w:r>
            <w:r>
              <w:rPr>
                <w:rFonts w:ascii="Times New Roman" w:hAnsi="Times New Roman"/>
                <w:sz w:val="24"/>
              </w:rPr>
              <w:fldChar w:fldCharType="begin"/>
            </w:r>
            <w:r>
              <w:rPr>
                <w:rFonts w:ascii="Times New Roman" w:hAnsi="Times New Roman"/>
                <w:sz w:val="24"/>
              </w:rPr>
              <w:instrText>HYPERLINK "https://zakon.rada.gov.ua/laws/show/922-19" \l "n1422"</w:instrText>
            </w:r>
            <w:r>
              <w:rPr>
                <w:rFonts w:ascii="Times New Roman" w:hAnsi="Times New Roman"/>
                <w:sz w:val="24"/>
              </w:rPr>
              <w:fldChar w:fldCharType="separate"/>
            </w:r>
            <w:r>
              <w:rPr>
                <w:rFonts w:ascii="Times New Roman" w:hAnsi="Times New Roman"/>
                <w:sz w:val="24"/>
                <w:u w:val="single"/>
              </w:rPr>
              <w:t>абзацу першого</w:t>
            </w:r>
            <w:r>
              <w:rPr>
                <w:rFonts w:ascii="Times New Roman" w:hAnsi="Times New Roman"/>
                <w:sz w:val="24"/>
                <w:u w:val="single"/>
              </w:rPr>
              <w:fldChar w:fldCharType="end"/>
            </w:r>
            <w:r>
              <w:rPr>
                <w:rFonts w:ascii="Times New Roman" w:hAnsi="Times New Roman"/>
                <w:sz w:val="24"/>
              </w:rPr>
              <w:t xml:space="preserve"> частини третьої статті 22 Закону;</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3) переможець процедури закупівлі:</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відмовився від підписання договору про закупівлю відповідно до вимог тендерної документації або укладення договору про закупівлю;</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не надав у спосіб, зазначений в тендерній документації, документи, що підтверджують відсутність підстав, визначених у </w:t>
            </w:r>
            <w:r>
              <w:rPr>
                <w:rFonts w:ascii="Times New Roman" w:hAnsi="Times New Roman"/>
                <w:sz w:val="24"/>
              </w:rPr>
              <w:fldChar w:fldCharType="begin"/>
            </w:r>
            <w:r>
              <w:rPr>
                <w:rFonts w:ascii="Times New Roman" w:hAnsi="Times New Roman"/>
                <w:sz w:val="24"/>
              </w:rPr>
              <w:instrText>HYPERLINK "https://zakon.rada.gov.ua/laws/show/1178-2022-%D0%BF" \l "n618"</w:instrText>
            </w:r>
            <w:r>
              <w:rPr>
                <w:rFonts w:ascii="Times New Roman" w:hAnsi="Times New Roman"/>
                <w:sz w:val="24"/>
              </w:rPr>
              <w:fldChar w:fldCharType="separate"/>
            </w:r>
            <w:r>
              <w:rPr>
                <w:rFonts w:ascii="Times New Roman" w:hAnsi="Times New Roman"/>
                <w:sz w:val="24"/>
                <w:u w:val="single"/>
              </w:rPr>
              <w:t>підпунктах 3</w:t>
            </w:r>
            <w:r>
              <w:rPr>
                <w:rFonts w:ascii="Times New Roman" w:hAnsi="Times New Roman"/>
                <w:sz w:val="24"/>
                <w:u w:val="single"/>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"https://zakon.rada.gov.ua/laws/show/1178-2022-%D0%BF" \l "n620"</w:instrText>
            </w:r>
            <w:r>
              <w:rPr>
                <w:rFonts w:ascii="Times New Roman" w:hAnsi="Times New Roman"/>
                <w:sz w:val="24"/>
              </w:rPr>
              <w:fldChar w:fldCharType="separate"/>
            </w:r>
            <w:r>
              <w:rPr>
                <w:rFonts w:ascii="Times New Roman" w:hAnsi="Times New Roman"/>
                <w:sz w:val="24"/>
                <w:u w:val="single"/>
              </w:rPr>
              <w:t>5</w:t>
            </w:r>
            <w:r>
              <w:rPr>
                <w:rFonts w:ascii="Times New Roman" w:hAnsi="Times New Roman"/>
                <w:sz w:val="24"/>
                <w:u w:val="single"/>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"https://zakon.rada.gov.ua/laws/show/1178-2022-%D0%BF" \l "n621"</w:instrText>
            </w:r>
            <w:r>
              <w:rPr>
                <w:rFonts w:ascii="Times New Roman" w:hAnsi="Times New Roman"/>
                <w:sz w:val="24"/>
              </w:rPr>
              <w:fldChar w:fldCharType="separate"/>
            </w:r>
            <w:r>
              <w:rPr>
                <w:rFonts w:ascii="Times New Roman" w:hAnsi="Times New Roman"/>
                <w:sz w:val="24"/>
                <w:u w:val="single"/>
              </w:rPr>
              <w:t>6</w:t>
            </w:r>
            <w:r>
              <w:rPr>
                <w:rFonts w:ascii="Times New Roman" w:hAnsi="Times New Roman"/>
                <w:sz w:val="24"/>
                <w:u w:val="single"/>
              </w:rPr>
              <w:fldChar w:fldCharType="end"/>
            </w:r>
            <w:r>
              <w:rPr>
                <w:rFonts w:ascii="Times New Roman" w:hAnsi="Times New Roman"/>
                <w:sz w:val="24"/>
                <w:u w:val="single"/>
              </w:rPr>
              <w:t>, 8</w:t>
            </w:r>
            <w:r>
              <w:rPr>
                <w:rFonts w:ascii="Times New Roman" w:hAnsi="Times New Roman"/>
                <w:sz w:val="24"/>
              </w:rPr>
              <w:t xml:space="preserve"> і </w:t>
            </w:r>
            <w:r>
              <w:rPr>
                <w:rFonts w:ascii="Times New Roman" w:hAnsi="Times New Roman"/>
                <w:sz w:val="24"/>
              </w:rPr>
              <w:fldChar w:fldCharType="begin"/>
            </w:r>
            <w:r>
              <w:rPr>
                <w:rFonts w:ascii="Times New Roman" w:hAnsi="Times New Roman"/>
                <w:sz w:val="24"/>
              </w:rPr>
              <w:instrText>HYPERLINK "https://zakon.rada.gov.ua/laws/show/1178-2022-%D0%BF" \l "n627"</w:instrText>
            </w:r>
            <w:r>
              <w:rPr>
                <w:rFonts w:ascii="Times New Roman" w:hAnsi="Times New Roman"/>
                <w:sz w:val="24"/>
              </w:rPr>
              <w:fldChar w:fldCharType="separate"/>
            </w:r>
            <w:r>
              <w:rPr>
                <w:rFonts w:ascii="Times New Roman" w:hAnsi="Times New Roman"/>
                <w:sz w:val="24"/>
                <w:u w:val="single"/>
              </w:rPr>
              <w:t>12</w:t>
            </w:r>
            <w:r>
              <w:rPr>
                <w:rFonts w:ascii="Times New Roman" w:hAnsi="Times New Roman"/>
                <w:sz w:val="24"/>
                <w:u w:val="single"/>
              </w:rPr>
              <w:fldChar w:fldCharType="end"/>
            </w:r>
            <w:r>
              <w:rPr>
                <w:rFonts w:ascii="Times New Roman" w:hAnsi="Times New Roman"/>
                <w:sz w:val="24"/>
              </w:rPr>
              <w:t xml:space="preserve"> та в </w:t>
            </w:r>
            <w:r>
              <w:rPr>
                <w:rFonts w:ascii="Times New Roman" w:hAnsi="Times New Roman"/>
                <w:sz w:val="24"/>
              </w:rPr>
              <w:fldChar w:fldCharType="begin"/>
            </w:r>
            <w:r>
              <w:rPr>
                <w:rFonts w:ascii="Times New Roman" w:hAnsi="Times New Roman"/>
                <w:sz w:val="24"/>
              </w:rPr>
              <w:instrText>HYPERLINK "https://zakon.rada.gov.ua/laws/show/1178-2022-%D0%BF" \l "n628"</w:instrText>
            </w:r>
            <w:r>
              <w:rPr>
                <w:rFonts w:ascii="Times New Roman" w:hAnsi="Times New Roman"/>
                <w:sz w:val="24"/>
              </w:rPr>
              <w:fldChar w:fldCharType="separate"/>
            </w:r>
            <w:r>
              <w:rPr>
                <w:rFonts w:ascii="Times New Roman" w:hAnsi="Times New Roman"/>
                <w:sz w:val="24"/>
                <w:u w:val="single"/>
              </w:rPr>
              <w:t>абзаці чотирнадцятому</w:t>
            </w:r>
            <w:r>
              <w:rPr>
                <w:rFonts w:ascii="Times New Roman" w:hAnsi="Times New Roman"/>
                <w:sz w:val="24"/>
                <w:u w:val="single"/>
              </w:rPr>
              <w:fldChar w:fldCharType="end"/>
            </w:r>
            <w:r>
              <w:rPr>
                <w:rFonts w:ascii="Times New Roman" w:hAnsi="Times New Roman"/>
                <w:sz w:val="24"/>
              </w:rPr>
              <w:t xml:space="preserve"> пункту 47 Особливостей;</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не надав забезпечення виконання договору про закупівлю, якщо таке забезпечення вимагалося замовником;</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надав недостовірну інформацію, що є суттєвою для визначення результатів процедури закупівлі, яку замовником виявлено згідно з </w:t>
            </w:r>
            <w:r>
              <w:rPr>
                <w:rFonts w:ascii="Times New Roman" w:hAnsi="Times New Roman"/>
                <w:sz w:val="24"/>
              </w:rPr>
              <w:fldChar w:fldCharType="begin"/>
            </w:r>
            <w:r>
              <w:rPr>
                <w:rFonts w:ascii="Times New Roman" w:hAnsi="Times New Roman"/>
                <w:sz w:val="24"/>
              </w:rPr>
              <w:instrText>HYPERLINK "https://zakon.rada.gov.ua/laws/show/1178-2022-%D0%BF" \l "n586"</w:instrText>
            </w:r>
            <w:r>
              <w:rPr>
                <w:rFonts w:ascii="Times New Roman" w:hAnsi="Times New Roman"/>
                <w:sz w:val="24"/>
              </w:rPr>
              <w:fldChar w:fldCharType="separate"/>
            </w:r>
            <w:r>
              <w:rPr>
                <w:rFonts w:ascii="Times New Roman" w:hAnsi="Times New Roman"/>
                <w:sz w:val="24"/>
                <w:u w:val="single"/>
              </w:rPr>
              <w:t>абзацом першим</w:t>
            </w:r>
            <w:r>
              <w:rPr>
                <w:rFonts w:ascii="Times New Roman" w:hAnsi="Times New Roman"/>
                <w:sz w:val="24"/>
                <w:u w:val="single"/>
              </w:rPr>
              <w:fldChar w:fldCharType="end"/>
            </w:r>
            <w:r>
              <w:rPr>
                <w:rFonts w:ascii="Times New Roman" w:hAnsi="Times New Roman"/>
                <w:sz w:val="24"/>
              </w:rPr>
              <w:t xml:space="preserve"> пункту 42 Особливостей.</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 Замовник може відхилити тендерну пропозицію із зазначенням аргументації в електронній системі закупівель у разі, коли:</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shd w:val="clear"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shd w:val="clear"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"https://zakon.rada.gov.ua/laws/show/922-19" \l "n1039"</w:instrText>
            </w:r>
            <w:r>
              <w:rPr>
                <w:rFonts w:ascii="Times New Roman" w:hAnsi="Times New Roman"/>
                <w:sz w:val="24"/>
                <w:shd w:val="clear" w:fill="FFFFFF"/>
              </w:rPr>
              <w:fldChar w:fldCharType="separate"/>
            </w:r>
            <w:r>
              <w:rPr>
                <w:rFonts w:ascii="Times New Roman" w:hAnsi="Times New Roman"/>
                <w:sz w:val="24"/>
                <w:u w:val="single"/>
                <w:shd w:val="clear" w:fill="FFFFFF"/>
              </w:rPr>
              <w:t>статті 10</w:t>
            </w:r>
            <w:r>
              <w:rPr>
                <w:rFonts w:ascii="Times New Roman" w:hAnsi="Times New Roman"/>
                <w:sz w:val="24"/>
                <w:u w:val="single"/>
                <w:shd w:val="clear" w:fill="FFFFFF"/>
              </w:rPr>
              <w:fldChar w:fldCharType="end"/>
            </w:r>
            <w:r>
              <w:rPr>
                <w:rFonts w:ascii="Times New Roman" w:hAnsi="Times New Roman"/>
                <w:sz w:val="24"/>
                <w:shd w:val="clear" w:fill="FFFFFF"/>
              </w:rPr>
              <w:t xml:space="preserve"> Закону.</w:t>
            </w:r>
          </w:p>
          <w:p>
            <w:pPr>
              <w:shd w:val="clear" w:fill="FFFFFF"/>
              <w:spacing w:lineRule="auto" w:line="240" w:after="0" w:beforeAutospacing="0" w:afterAutospacing="0"/>
              <w:ind w:firstLine="460"/>
              <w:jc w:val="both"/>
              <w:rPr>
                <w:rFonts w:ascii="Times New Roman" w:hAnsi="Times New Roman"/>
                <w:sz w:val="24"/>
              </w:rPr>
            </w:pPr>
          </w:p>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Відповідно до пункту 43 Особливостей “</w:t>
            </w:r>
            <w:r>
              <w:rPr>
                <w:rFonts w:ascii="Times New Roman" w:hAnsi="Times New Roman"/>
                <w:sz w:val="24"/>
                <w:shd w:val="clear"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sz w:val="24"/>
              </w:rPr>
              <w:t>”</w:t>
            </w:r>
          </w:p>
        </w:tc>
      </w:tr>
      <w:tr>
        <w:trPr>
          <w:trHeight w:hRule="atLeast" w:val="210"/>
          <w:jc w:val="center"/>
        </w:trPr>
        <w:tc>
          <w:tcPr>
            <w:tcW w:w="9629"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vAlign w:val="center"/>
          </w:tcPr>
          <w:p>
            <w:pPr>
              <w:spacing w:lineRule="auto" w:line="240" w:after="0" w:beforeAutospacing="0" w:afterAutospacing="0"/>
              <w:ind w:hanging="20" w:left="72"/>
              <w:rPr>
                <w:rFonts w:ascii="Times New Roman" w:hAnsi="Times New Roman"/>
                <w:sz w:val="24"/>
              </w:rPr>
            </w:pPr>
            <w:r>
              <w:rPr>
                <w:rFonts w:ascii="Times New Roman" w:hAnsi="Times New Roman"/>
                <w:b w:val="1"/>
                <w:sz w:val="24"/>
              </w:rPr>
              <w:t>Розділ VІ. Результати торгів та укладання договору про закупівлю</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1</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Відміна замовником торгів чи визнання їх такими, що не відбулися</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Замовник відміняє відкриті торги у разі:</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1) відсутності подальшої потреби в закупівлі товарів, робіт чи послуг;</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3) скорочення обсягу видатків на здійснення закупівлі товарів, робіт чи послуг;</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4) коли здійснення закупівлі стало неможливим внаслідок дії обставин непереборної сили.</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Відкриті торги автоматично відміняються електронною системою закупівель у разі:</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2) неподання жодної тендерної пропозиції для участі у відкритих торгах у строк, установлений замовником згідно з цими особливостями.</w:t>
            </w:r>
          </w:p>
          <w:p>
            <w:pPr>
              <w:shd w:val="clear" w:fill="FFFFFF"/>
              <w:spacing w:lineRule="auto" w:line="240" w:after="0" w:beforeAutospacing="0" w:afterAutospacing="0"/>
              <w:ind w:firstLine="425"/>
              <w:jc w:val="both"/>
              <w:rPr>
                <w:rFonts w:ascii="Times New Roman" w:hAnsi="Times New Roman"/>
                <w:sz w:val="24"/>
              </w:rPr>
            </w:pPr>
            <w:r>
              <w:rPr>
                <w:rFonts w:ascii="Times New Roman" w:hAnsi="Times New Roman"/>
                <w:sz w:val="24"/>
              </w:rPr>
              <w:t>Відкриті торги можуть бути відмінені частково (за лотом).</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2</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Строк укладання договору </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sz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spacing w:lineRule="auto" w:line="240" w:after="0" w:beforeAutospacing="0" w:afterAutospacing="0"/>
              <w:ind w:firstLine="182"/>
              <w:jc w:val="both"/>
              <w:rPr>
                <w:rFonts w:ascii="Times New Roman" w:hAnsi="Times New Roman"/>
                <w:sz w:val="24"/>
              </w:rPr>
            </w:pPr>
            <w:r>
              <w:rPr>
                <w:rFonts w:ascii="Times New Roman" w:hAnsi="Times New Roman"/>
                <w:sz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Учасник, якого визначено переможцем торгів під час укладання договору надає замовнику наступні документи:</w:t>
            </w:r>
          </w:p>
          <w:p>
            <w:pPr>
              <w:pStyle w:val="P14"/>
              <w:numPr>
                <w:ilvl w:val="0"/>
                <w:numId w:val="5"/>
              </w:numPr>
              <w:spacing w:lineRule="auto" w:line="240" w:after="0" w:beforeAutospacing="0" w:afterAutospacing="0"/>
              <w:jc w:val="both"/>
              <w:rPr>
                <w:rFonts w:ascii="Times New Roman" w:hAnsi="Times New Roman"/>
                <w:sz w:val="24"/>
              </w:rPr>
            </w:pPr>
            <w:r>
              <w:rPr>
                <w:rFonts w:ascii="Times New Roman" w:hAnsi="Times New Roman"/>
                <w:sz w:val="24"/>
              </w:rPr>
              <w:t>форму «Пропозиція», з зазначенням суми закупівлі;</w:t>
            </w:r>
          </w:p>
          <w:p>
            <w:pPr>
              <w:pStyle w:val="P14"/>
              <w:numPr>
                <w:ilvl w:val="0"/>
                <w:numId w:val="5"/>
              </w:numPr>
              <w:spacing w:lineRule="auto" w:line="240" w:after="0" w:beforeAutospacing="0" w:afterAutospacing="0"/>
              <w:jc w:val="both"/>
              <w:rPr>
                <w:rFonts w:ascii="Times New Roman" w:hAnsi="Times New Roman"/>
                <w:sz w:val="24"/>
              </w:rPr>
            </w:pPr>
            <w:r>
              <w:rPr>
                <w:rFonts w:ascii="Times New Roman" w:hAnsi="Times New Roman"/>
                <w:sz w:val="24"/>
              </w:rPr>
              <w:t>заповнений та підписаний проект договору;</w:t>
            </w:r>
          </w:p>
          <w:p>
            <w:pPr>
              <w:pStyle w:val="P14"/>
              <w:numPr>
                <w:ilvl w:val="0"/>
                <w:numId w:val="5"/>
              </w:numPr>
              <w:spacing w:lineRule="auto" w:line="240" w:after="0" w:beforeAutospacing="0" w:afterAutospacing="0"/>
              <w:jc w:val="both"/>
              <w:rPr>
                <w:rFonts w:ascii="Times New Roman" w:hAnsi="Times New Roman"/>
                <w:sz w:val="24"/>
              </w:rPr>
            </w:pPr>
            <w:r>
              <w:rPr>
                <w:rFonts w:ascii="Times New Roman" w:hAnsi="Times New Roman"/>
                <w:sz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pPr>
              <w:spacing w:lineRule="auto" w:line="240" w:after="0" w:beforeAutospacing="0" w:afterAutospacing="0"/>
              <w:jc w:val="both"/>
              <w:rPr>
                <w:rFonts w:ascii="Times New Roman" w:hAnsi="Times New Roman"/>
                <w:sz w:val="24"/>
              </w:rPr>
            </w:pPr>
            <w:r>
              <w:rPr>
                <w:rFonts w:ascii="Times New Roman" w:hAnsi="Times New Roman"/>
                <w:sz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3</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Проект договору про закупівлю </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Проект договору викладено у додатку ІІІ тендерної документації.</w:t>
            </w:r>
          </w:p>
          <w:p>
            <w:pPr>
              <w:spacing w:lineRule="auto" w:line="240" w:after="0" w:beforeAutospacing="0" w:afterAutospacing="0"/>
              <w:ind w:right="113"/>
              <w:jc w:val="both"/>
              <w:rPr>
                <w:rFonts w:ascii="Times New Roman" w:hAnsi="Times New Roman"/>
                <w:sz w:val="24"/>
              </w:rPr>
            </w:pPr>
            <w:r>
              <w:rPr>
                <w:rFonts w:ascii="Times New Roman" w:hAnsi="Times New Roman"/>
                <w:sz w:val="24"/>
              </w:rPr>
              <w:t>Проект договору про закупівлю, може бути уточнений під час укладання без зміни його істотних умов.</w:t>
            </w:r>
          </w:p>
          <w:p>
            <w:pPr>
              <w:spacing w:lineRule="auto" w:line="240" w:after="0" w:beforeAutospacing="0" w:afterAutospacing="0"/>
              <w:ind w:right="113"/>
              <w:jc w:val="both"/>
              <w:rPr>
                <w:rFonts w:ascii="Times New Roman" w:hAnsi="Times New Roman"/>
                <w:sz w:val="24"/>
              </w:rPr>
            </w:pPr>
            <w:r>
              <w:rPr>
                <w:rFonts w:ascii="Times New Roman" w:hAnsi="Times New Roman"/>
                <w:sz w:val="24"/>
              </w:rPr>
              <w:t>У складі тендерної пропозиції учасник подає підписаний проект договору про закупівлю,  чим погоджується з усіма умовами договору.</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4</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Істотні умови, що обов’язково включаються до договору про закупівлю</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sz w:val="24"/>
              </w:rPr>
              <w:t>Договір про закупівлю за результатами проведеної закупівлі буде укладено відповідно до Цивільного і Господарського кодексів України з урахуванням положень статті 41 Закону та Особливостей.</w:t>
            </w:r>
          </w:p>
          <w:p>
            <w:pPr>
              <w:spacing w:lineRule="auto" w:line="240" w:after="0" w:beforeAutospacing="0" w:afterAutospacing="0"/>
              <w:jc w:val="both"/>
              <w:rPr>
                <w:rFonts w:ascii="Times New Roman" w:hAnsi="Times New Roman"/>
                <w:sz w:val="24"/>
              </w:rPr>
            </w:pPr>
            <w:r>
              <w:rPr>
                <w:rFonts w:ascii="Times New Roman" w:hAnsi="Times New Roman"/>
                <w:sz w:val="24"/>
              </w:rPr>
              <w:t>Умови договору про закупівлю не повинні відрізнятися від змісту тендерної пропозиції переможця процедури закупівлі, крім випадків визначених Законом та Особливостями.</w:t>
            </w:r>
          </w:p>
          <w:p>
            <w:pPr>
              <w:spacing w:lineRule="auto" w:line="240" w:after="0" w:beforeAutospacing="0" w:afterAutospacing="0"/>
              <w:jc w:val="both"/>
              <w:rPr>
                <w:rFonts w:ascii="Times New Roman" w:hAnsi="Times New Roman"/>
                <w:sz w:val="24"/>
              </w:rPr>
            </w:pPr>
            <w:r>
              <w:rPr>
                <w:rFonts w:ascii="Times New Roman" w:hAnsi="Times New Roman"/>
                <w:sz w:val="24"/>
              </w:rPr>
              <w:t>Договір має містити найменування предмету закупівлі, загальну вартість та термін дії договору. Ціна договору визначається відповідно до поданої учасником цінової пропозиції.</w:t>
            </w:r>
          </w:p>
          <w:p>
            <w:pPr>
              <w:spacing w:lineRule="auto" w:line="240" w:after="0" w:beforeAutospacing="0" w:afterAutospacing="0"/>
              <w:jc w:val="both"/>
              <w:rPr>
                <w:rFonts w:ascii="Times New Roman" w:hAnsi="Times New Roman"/>
                <w:sz w:val="24"/>
              </w:rPr>
            </w:pPr>
            <w:r>
              <w:rPr>
                <w:rFonts w:ascii="Times New Roman" w:hAnsi="Times New Roman"/>
                <w:sz w:val="24"/>
              </w:rPr>
              <w:t>Умови договору можуть бути уточнені замовником під час його укладання.</w:t>
            </w:r>
          </w:p>
          <w:p>
            <w:pPr>
              <w:spacing w:lineRule="auto" w:line="240" w:after="0" w:beforeAutospacing="0" w:afterAutospacing="0"/>
              <w:jc w:val="both"/>
              <w:rPr>
                <w:rFonts w:ascii="Times New Roman" w:hAnsi="Times New Roman"/>
                <w:sz w:val="24"/>
              </w:rPr>
            </w:pPr>
            <w:r>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проекті договору.</w:t>
            </w:r>
          </w:p>
        </w:tc>
      </w:tr>
      <w:tr>
        <w:trPr>
          <w:trHeight w:hRule="atLeast" w:val="13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5</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Дії замовника при відмові переможця торгів підписати договір про закупівлю</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shd w:val="clear" w:fill="FFFFFF"/>
              </w:rPr>
            </w:pPr>
            <w:r>
              <w:rPr>
                <w:rFonts w:ascii="Times New Roman" w:hAnsi="Times New Roman"/>
                <w:sz w:val="24"/>
                <w:shd w:val="clear" w:fill="FFFFFF"/>
              </w:rPr>
              <w:t xml:space="preserve">У разі відхилення тендерної пропозиції з підстави, визначеної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"https://zakon.rada.gov.ua/laws/show/1178-2022-%D0%BF" \l "n605"</w:instrText>
            </w:r>
            <w:r>
              <w:rPr>
                <w:rFonts w:ascii="Times New Roman" w:hAnsi="Times New Roman"/>
                <w:sz w:val="24"/>
                <w:shd w:val="clear" w:fill="FFFFFF"/>
              </w:rPr>
              <w:fldChar w:fldCharType="separate"/>
            </w:r>
            <w:r>
              <w:rPr>
                <w:rFonts w:ascii="Times New Roman" w:hAnsi="Times New Roman"/>
                <w:sz w:val="24"/>
                <w:u w:val="single"/>
                <w:shd w:val="clear" w:fill="FFFFFF"/>
              </w:rPr>
              <w:t>підпунктом 3</w:t>
            </w:r>
            <w:r>
              <w:rPr>
                <w:rFonts w:ascii="Times New Roman" w:hAnsi="Times New Roman"/>
                <w:sz w:val="24"/>
                <w:u w:val="single"/>
                <w:shd w:val="clear" w:fill="FFFFFF"/>
              </w:rPr>
              <w:fldChar w:fldCharType="end"/>
            </w:r>
            <w:r>
              <w:rPr>
                <w:rFonts w:ascii="Times New Roman" w:hAnsi="Times New Roman"/>
                <w:sz w:val="24"/>
                <w:shd w:val="clear" w:fill="FFFFFF"/>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"https://zakon.rada.gov.ua/laws/show/922-19" \l "n1611"</w:instrText>
            </w:r>
            <w:r>
              <w:rPr>
                <w:rFonts w:ascii="Times New Roman" w:hAnsi="Times New Roman"/>
                <w:sz w:val="24"/>
                <w:shd w:val="clear" w:fill="FFFFFF"/>
              </w:rPr>
              <w:fldChar w:fldCharType="separate"/>
            </w:r>
            <w:r>
              <w:rPr>
                <w:rFonts w:ascii="Times New Roman" w:hAnsi="Times New Roman"/>
                <w:sz w:val="24"/>
                <w:shd w:val="clear" w:fill="FFFFFF"/>
              </w:rPr>
              <w:t>статтею 33</w:t>
            </w:r>
            <w:r>
              <w:rPr>
                <w:rFonts w:ascii="Times New Roman" w:hAnsi="Times New Roman"/>
                <w:sz w:val="24"/>
                <w:shd w:val="clear" w:fill="FFFFFF"/>
              </w:rPr>
              <w:fldChar w:fldCharType="end"/>
            </w:r>
            <w:r>
              <w:rPr>
                <w:rFonts w:ascii="Times New Roman" w:hAnsi="Times New Roman"/>
                <w:sz w:val="24"/>
                <w:shd w:val="clear" w:fill="FFFFFF"/>
              </w:rPr>
              <w:t xml:space="preserve"> Закону та пунктом 49 Особливостей.</w:t>
            </w:r>
          </w:p>
          <w:p>
            <w:pPr>
              <w:spacing w:lineRule="auto" w:line="240" w:after="0" w:beforeAutospacing="0" w:afterAutospacing="0"/>
              <w:ind w:right="113"/>
              <w:jc w:val="both"/>
              <w:rPr>
                <w:rFonts w:ascii="Times New Roman" w:hAnsi="Times New Roman"/>
                <w:sz w:val="24"/>
                <w:shd w:val="clear" w:fill="FFFFFF"/>
              </w:rPr>
            </w:pPr>
            <w:r>
              <w:rPr>
                <w:rFonts w:ascii="Times New Roman" w:hAnsi="Times New Roman"/>
                <w:sz w:val="24"/>
                <w:shd w:val="clear"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6</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Забезпечення виконання договору про закупівлю </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pStyle w:val="P9"/>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beforeAutospacing="0" w:afterAutospacing="0"/>
              <w:jc w:val="both"/>
              <w:rPr>
                <w:color w:val="000000"/>
              </w:rPr>
            </w:pPr>
            <w:r>
              <w:t xml:space="preserve">Замовником вимагається, не пізніше дати укладання Договору про закупівлю товару, надання </w:t>
            </w:r>
            <w:r>
              <w:t>Переможцем</w:t>
            </w:r>
            <w:r>
              <w:t xml:space="preserve"> забезпечення виконання договору про закупівлю, яке має бути надане у формі покритої електронної банківської гарантії (далі – банківська гарантія), </w:t>
            </w:r>
            <w:r>
              <w:rPr>
                <w:color w:val="000000"/>
              </w:rPr>
              <w:t>оформленої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 грудня 2004 р. № 639 та Наказу Міністерства розвитку економіки, торгівлі та сільського господарства України від 14 грудня 2020 р. № 2628 «Про затвердження форми і Вимог до забезпечення тендерної пропозиції / пропозиції».</w:t>
            </w:r>
          </w:p>
          <w:p>
            <w:pPr>
              <w:pStyle w:val="P9"/>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beforeAutospacing="0" w:afterAutospacing="0"/>
              <w:jc w:val="both"/>
              <w:rPr>
                <w:color w:val="000000"/>
              </w:rPr>
            </w:pPr>
            <w:r>
              <w:rPr>
                <w:color w:val="000000"/>
              </w:rPr>
              <w:t>Банківська гарантія подається у вигляді електронного документа (Закон України «Про електронні документи та електронний документообіг»; Закон України «Про електронні довірчі послуги»).</w:t>
            </w:r>
          </w:p>
          <w:p>
            <w:pPr>
              <w:pStyle w:val="P15"/>
              <w:widowControl w:val="0"/>
              <w:spacing w:lineRule="auto" w:line="240" w:beforeAutospacing="0" w:afterAutospacing="0"/>
              <w:ind w:right="113"/>
              <w:jc w:val="both"/>
              <w:rPr>
                <w:rFonts w:ascii="Times New Roman" w:hAnsi="Times New Roman"/>
                <w:b w:val="1"/>
                <w:sz w:val="24"/>
              </w:rPr>
            </w:pPr>
            <w:r>
              <w:rPr>
                <w:rFonts w:ascii="Times New Roman" w:hAnsi="Times New Roman"/>
                <w:b w:val="1"/>
                <w:sz w:val="24"/>
              </w:rPr>
              <w:t>Банківська гарантія має бути безвідкличною та безумовною.</w:t>
            </w:r>
          </w:p>
          <w:p>
            <w:pPr>
              <w:pStyle w:val="P9"/>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beforeAutospacing="0" w:afterAutospacing="0"/>
              <w:jc w:val="both"/>
              <w:rPr>
                <w:color w:val="000000"/>
              </w:rPr>
            </w:pPr>
            <w:r>
              <w:rPr>
                <w:color w:val="000000"/>
              </w:rPr>
              <w:t>Розмір забезпечення виконання договору про закупівлю складає: 2 % від вартості договору.</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 БЕНЕФІЦІАР: </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Закарпатська регіональна державна лабораторія Держпродспоживслужби </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ЄДРПОУ 00698727</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Адреса (юридична, поштова): 88015, Україна, Закарпатська область, м. Ужгород, вул. Минайська, буд. 39. </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 Номер банківського рахунку бенефіціара:</w:t>
            </w:r>
          </w:p>
          <w:p>
            <w:pPr>
              <w:spacing w:lineRule="auto" w:line="240" w:after="0" w:beforeAutospacing="0" w:afterAutospacing="0"/>
              <w:ind w:firstLine="425"/>
              <w:jc w:val="both"/>
              <w:rPr>
                <w:rFonts w:ascii="Times New Roman" w:hAnsi="Times New Roman"/>
                <w:sz w:val="24"/>
              </w:rPr>
            </w:pPr>
            <w:r>
              <w:rPr>
                <w:rFonts w:ascii="Times New Roman" w:hAnsi="Times New Roman"/>
                <w:color w:val="000000"/>
                <w:sz w:val="24"/>
              </w:rPr>
              <w:t>IBAN UA 968201720343131004200018284</w:t>
            </w:r>
            <w:r>
              <w:rPr>
                <w:rFonts w:ascii="Times New Roman" w:hAnsi="Times New Roman"/>
              </w:rPr>
              <w:t xml:space="preserve"> </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в ДКСУ м. Києва, МФО 820172</w:t>
            </w:r>
          </w:p>
          <w:p>
            <w:pPr>
              <w:spacing w:lineRule="auto" w:line="240" w:after="0" w:beforeAutospacing="0" w:afterAutospacing="0"/>
              <w:ind w:firstLine="425"/>
              <w:jc w:val="both"/>
              <w:rPr>
                <w:rFonts w:ascii="Times New Roman" w:hAnsi="Times New Roman"/>
                <w:sz w:val="24"/>
              </w:rPr>
            </w:pP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 xml:space="preserve">Всі витрати по оформленню банківської гарантії  здійснюються за рахунок </w:t>
            </w:r>
            <w:r>
              <w:rPr>
                <w:rFonts w:ascii="Times New Roman" w:hAnsi="Times New Roman"/>
                <w:sz w:val="24"/>
              </w:rPr>
              <w:t>Переможця</w:t>
            </w:r>
            <w:r>
              <w:rPr>
                <w:rFonts w:ascii="Times New Roman" w:hAnsi="Times New Roman"/>
                <w:sz w:val="24"/>
              </w:rPr>
              <w:t>.</w:t>
            </w:r>
          </w:p>
          <w:p>
            <w:pPr>
              <w:spacing w:lineRule="auto" w:line="240" w:after="0" w:beforeAutospacing="0" w:afterAutospacing="0"/>
              <w:ind w:firstLine="425"/>
              <w:jc w:val="both"/>
              <w:rPr>
                <w:rFonts w:ascii="Times New Roman" w:hAnsi="Times New Roman"/>
                <w:color w:val="000000"/>
                <w:sz w:val="24"/>
              </w:rPr>
            </w:pPr>
            <w:r>
              <w:rPr>
                <w:rFonts w:ascii="Times New Roman" w:hAnsi="Times New Roman"/>
                <w:sz w:val="24"/>
              </w:rPr>
              <w:t>*Термін дії банківської гарантії повинен бути не меншим від терміну дії договору та/або терміну виконання усіх зобов’язань Підрядника (Принципал – в банківській гарантії) щодо виконання договору про закупівлю.</w:t>
            </w:r>
          </w:p>
          <w:p>
            <w:pPr>
              <w:spacing w:lineRule="auto" w:line="240" w:after="0" w:beforeAutospacing="0" w:afterAutospacing="0"/>
              <w:rPr>
                <w:rFonts w:ascii="Times New Roman" w:hAnsi="Times New Roman"/>
                <w:sz w:val="24"/>
              </w:rPr>
            </w:pPr>
            <w:r>
              <w:rPr>
                <w:rFonts w:ascii="Times New Roman" w:hAnsi="Times New Roman"/>
                <w:color w:val="000000"/>
                <w:sz w:val="24"/>
              </w:rPr>
              <w:t xml:space="preserve">Банківська гарантія, що надається банком, має бути надана: </w:t>
            </w:r>
          </w:p>
          <w:p>
            <w:pPr>
              <w:numPr>
                <w:ilvl w:val="0"/>
                <w:numId w:val="3"/>
              </w:numPr>
              <w:spacing w:lineRule="auto" w:line="240" w:before="100" w:after="100" w:beforeAutospacing="1" w:afterAutospacing="1"/>
              <w:rPr>
                <w:rFonts w:ascii="Times New Roman" w:hAnsi="Times New Roman"/>
                <w:sz w:val="24"/>
              </w:rPr>
            </w:pPr>
            <w:r>
              <w:rPr>
                <w:rFonts w:ascii="Times New Roman" w:hAnsi="Times New Roman"/>
                <w:color w:val="000000"/>
                <w:sz w:val="24"/>
              </w:rPr>
              <w:t xml:space="preserve">банком-резидентом України, в якому держава прямо чи опосередковано володіє часткою понад 75% статутного капіталу банку, або </w:t>
            </w:r>
          </w:p>
          <w:p>
            <w:pPr>
              <w:numPr>
                <w:ilvl w:val="0"/>
                <w:numId w:val="3"/>
              </w:numPr>
              <w:spacing w:lineRule="auto" w:line="240" w:before="100" w:after="100" w:beforeAutospacing="1" w:afterAutospacing="1"/>
              <w:rPr>
                <w:rFonts w:ascii="Times New Roman" w:hAnsi="Times New Roman"/>
                <w:sz w:val="24"/>
              </w:rPr>
            </w:pPr>
            <w:r>
              <w:rPr>
                <w:rFonts w:ascii="Times New Roman" w:hAnsi="Times New Roman"/>
                <w:color w:val="000000"/>
                <w:sz w:val="24"/>
              </w:rPr>
              <w:t xml:space="preserve">банком-резидентом України, який має довгостроковий кредитний рейтинг за національною шкалою не нижче «uaAAА»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 або </w:t>
            </w:r>
          </w:p>
          <w:p>
            <w:pPr>
              <w:numPr>
                <w:ilvl w:val="0"/>
                <w:numId w:val="3"/>
              </w:numPr>
              <w:spacing w:lineRule="auto" w:line="240" w:before="100" w:after="100" w:beforeAutospacing="1" w:afterAutospacing="1"/>
              <w:rPr>
                <w:rFonts w:ascii="Times New Roman" w:hAnsi="Times New Roman"/>
                <w:sz w:val="24"/>
              </w:rPr>
            </w:pPr>
            <w:r>
              <w:rPr>
                <w:rFonts w:ascii="Times New Roman" w:hAnsi="Times New Roman"/>
                <w:color w:val="000000"/>
                <w:sz w:val="24"/>
              </w:rPr>
              <w:t xml:space="preserve">іноземним банком, який має кредитний рейтинг однієї з рейтингових компаній Fitch, Moody’s, S&amp;P не нижче підвищеного інвестиційного класу (А-або вищий). </w:t>
            </w:r>
          </w:p>
          <w:p>
            <w:pPr>
              <w:numPr>
                <w:ilvl w:val="0"/>
                <w:numId w:val="3"/>
              </w:numPr>
              <w:spacing w:lineRule="auto" w:line="240" w:before="100" w:after="100" w:beforeAutospacing="1" w:afterAutospacing="1"/>
              <w:rPr>
                <w:rFonts w:ascii="Times New Roman" w:hAnsi="Times New Roman"/>
                <w:sz w:val="24"/>
              </w:rPr>
            </w:pPr>
            <w:r>
              <w:rPr>
                <w:rFonts w:ascii="Times New Roman" w:hAnsi="Times New Roman"/>
                <w:color w:val="000000"/>
                <w:sz w:val="24"/>
              </w:rPr>
              <w:t xml:space="preserve">банком, який за офіційними даними НБУ, повинен бути платоспроможним та не знаходитись в стадії ліквідації. На підтвердження </w:t>
            </w:r>
            <w:r>
              <w:rPr>
                <w:rFonts w:ascii="Times New Roman" w:hAnsi="Times New Roman"/>
                <w:color w:val="000000"/>
                <w:sz w:val="24"/>
              </w:rPr>
              <w:t>Переможець</w:t>
            </w:r>
            <w:r>
              <w:rPr>
                <w:rFonts w:ascii="Times New Roman" w:hAnsi="Times New Roman"/>
                <w:color w:val="000000"/>
                <w:sz w:val="24"/>
              </w:rPr>
              <w:t xml:space="preserve"> має надати лист від банку-гаранта щодо платоспроможності банку та не знаходження його в стадії ліквідації.</w:t>
            </w:r>
          </w:p>
          <w:p>
            <w:pPr>
              <w:widowControl w:val="0"/>
              <w:spacing w:lineRule="auto" w:line="240" w:beforeAutospacing="0" w:afterAutospacing="0"/>
              <w:contextualSpacing w:val="1"/>
              <w:jc w:val="both"/>
              <w:rPr>
                <w:rFonts w:ascii="Times New Roman" w:hAnsi="Times New Roman"/>
                <w:sz w:val="24"/>
              </w:rPr>
            </w:pPr>
            <w:r>
              <w:rPr>
                <w:rFonts w:ascii="Times New Roman" w:hAnsi="Times New Roman"/>
                <w:sz w:val="24"/>
              </w:rPr>
              <w:t>Замовник повертає забезпечення виконання договору про закупівлю:</w:t>
            </w:r>
          </w:p>
          <w:p>
            <w:pPr>
              <w:widowControl w:val="0"/>
              <w:spacing w:lineRule="auto" w:line="240" w:beforeAutospacing="0" w:afterAutospacing="0"/>
              <w:contextualSpacing w:val="1"/>
              <w:jc w:val="both"/>
              <w:rPr>
                <w:rFonts w:ascii="Times New Roman" w:hAnsi="Times New Roman"/>
                <w:sz w:val="24"/>
              </w:rPr>
            </w:pPr>
            <w:r>
              <w:rPr>
                <w:rFonts w:ascii="Times New Roman" w:hAnsi="Times New Roman"/>
                <w:sz w:val="24"/>
              </w:rPr>
              <w:t xml:space="preserve">1) після виконання переможцем процедури закупівлі  договору про закупівлю;</w:t>
            </w:r>
          </w:p>
          <w:p>
            <w:pPr>
              <w:widowControl w:val="0"/>
              <w:spacing w:lineRule="auto" w:line="240" w:beforeAutospacing="0" w:afterAutospacing="0"/>
              <w:contextualSpacing w:val="1"/>
              <w:jc w:val="both"/>
              <w:rPr>
                <w:rFonts w:ascii="Times New Roman" w:hAnsi="Times New Roman"/>
                <w:sz w:val="24"/>
              </w:rPr>
            </w:pPr>
            <w:r>
              <w:rPr>
                <w:rFonts w:ascii="Times New Roman" w:hAnsi="Times New Roman"/>
                <w:sz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pPr>
              <w:widowControl w:val="0"/>
              <w:spacing w:lineRule="auto" w:line="240" w:beforeAutospacing="0" w:afterAutospacing="0"/>
              <w:contextualSpacing w:val="1"/>
              <w:jc w:val="both"/>
              <w:rPr>
                <w:rFonts w:ascii="Times New Roman" w:hAnsi="Times New Roman"/>
                <w:sz w:val="24"/>
              </w:rPr>
            </w:pPr>
            <w:r>
              <w:rPr>
                <w:rFonts w:ascii="Times New Roman" w:hAnsi="Times New Roman"/>
                <w:sz w:val="24"/>
              </w:rPr>
              <w:t>3) у випадках, передбачених пунктом 21 Особливостей, затверджених постановою Кабінету Міністрів України від 12 жовтня 2022 р. № 1178;</w:t>
            </w:r>
          </w:p>
          <w:p>
            <w:pPr>
              <w:pStyle w:val="P15"/>
              <w:widowControl w:val="0"/>
              <w:spacing w:lineRule="auto" w:line="240" w:beforeAutospacing="0" w:afterAutospacing="0"/>
              <w:ind w:right="113"/>
              <w:jc w:val="both"/>
              <w:rPr>
                <w:rFonts w:ascii="Times New Roman" w:hAnsi="Times New Roman"/>
                <w:sz w:val="24"/>
              </w:rPr>
            </w:pPr>
            <w:r>
              <w:rPr>
                <w:rFonts w:ascii="Times New Roman" w:hAnsi="Times New Roman"/>
                <w:sz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pPr>
              <w:spacing w:lineRule="auto" w:line="240" w:after="0" w:beforeAutospacing="0" w:afterAutospacing="0"/>
              <w:rPr>
                <w:rFonts w:ascii="Times New Roman" w:hAnsi="Times New Roman"/>
                <w:color w:val="000000"/>
              </w:rPr>
            </w:pPr>
          </w:p>
          <w:p>
            <w:pPr>
              <w:spacing w:lineRule="auto" w:line="240" w:after="0" w:beforeAutospacing="0" w:afterAutospacing="0"/>
              <w:rPr>
                <w:rFonts w:ascii="Times New Roman" w:hAnsi="Times New Roman"/>
                <w:sz w:val="24"/>
              </w:rPr>
            </w:pPr>
            <w:r>
              <w:rPr>
                <w:rFonts w:ascii="Times New Roman" w:hAnsi="Times New Roman"/>
                <w:color w:val="000000"/>
              </w:rPr>
              <w:t>Кошти, що надійшли як забезпечення виконання договору про закупівлю (якщо вони не повертаються у випадка, визначених Законом), підлягають перерахуванню до відповідного бюджету.</w:t>
            </w:r>
          </w:p>
        </w:tc>
      </w:tr>
    </w:tbl>
    <w:p>
      <w:pPr>
        <w:spacing w:lineRule="auto" w:line="240" w:after="0" w:beforeAutospacing="0" w:afterAutospacing="0"/>
        <w:rPr>
          <w:rFonts w:ascii="Times New Roman" w:hAnsi="Times New Roman"/>
          <w:sz w:val="24"/>
        </w:rPr>
      </w:pPr>
    </w:p>
    <w:p>
      <w:pPr>
        <w:spacing w:lineRule="auto" w:line="240" w:beforeAutospacing="0" w:afterAutospacing="0"/>
        <w:rPr>
          <w:rFonts w:ascii="Times New Roman" w:hAnsi="Times New Roman"/>
          <w:b w:val="1"/>
          <w:sz w:val="24"/>
        </w:rPr>
      </w:pPr>
      <w:r>
        <w:rPr>
          <w:rFonts w:ascii="Times New Roman" w:hAnsi="Times New Roman"/>
        </w:rPr>
        <w:br w:type="page"/>
      </w:r>
    </w:p>
    <w:p>
      <w:pPr>
        <w:spacing w:lineRule="auto" w:line="240" w:after="0" w:beforeAutospacing="0" w:afterAutospacing="0"/>
        <w:jc w:val="right"/>
        <w:rPr>
          <w:rFonts w:ascii="Times New Roman" w:hAnsi="Times New Roman"/>
          <w:sz w:val="24"/>
        </w:rPr>
      </w:pPr>
      <w:r>
        <w:rPr>
          <w:rFonts w:ascii="Times New Roman" w:hAnsi="Times New Roman"/>
          <w:b w:val="1"/>
          <w:sz w:val="24"/>
        </w:rPr>
        <w:t>Додаток І</w:t>
      </w:r>
    </w:p>
    <w:p>
      <w:pPr>
        <w:spacing w:lineRule="auto" w:line="240" w:after="0" w:beforeAutospacing="0" w:afterAutospacing="0"/>
        <w:rPr>
          <w:rFonts w:ascii="Times New Roman" w:hAnsi="Times New Roman"/>
          <w:sz w:val="24"/>
        </w:rPr>
      </w:pPr>
    </w:p>
    <w:p>
      <w:pPr>
        <w:spacing w:lineRule="auto" w:line="240" w:after="0" w:beforeAutospacing="0" w:afterAutospacing="0"/>
        <w:jc w:val="center"/>
        <w:rPr>
          <w:rFonts w:ascii="Times New Roman" w:hAnsi="Times New Roman"/>
          <w:b w:val="1"/>
          <w:sz w:val="24"/>
          <w:u w:val="single"/>
        </w:rPr>
      </w:pPr>
      <w:r>
        <w:rPr>
          <w:rFonts w:ascii="Times New Roman" w:hAnsi="Times New Roman"/>
          <w:b w:val="1"/>
          <w:sz w:val="24"/>
        </w:rPr>
        <w:t xml:space="preserve">І. </w:t>
      </w:r>
      <w:r>
        <w:rPr>
          <w:rFonts w:ascii="Times New Roman" w:hAnsi="Times New Roman"/>
          <w:b w:val="1"/>
          <w:sz w:val="24"/>
          <w:u w:val="single"/>
        </w:rPr>
        <w:t>Перелік документів, які вимагаються для підтвердження відповідності пропозиції учасника кваліфікаційним та іншим вимогам замовника</w:t>
      </w:r>
    </w:p>
    <w:p>
      <w:pPr>
        <w:spacing w:lineRule="auto" w:line="276" w:after="0" w:beforeAutospacing="0" w:afterAutospacing="0"/>
        <w:jc w:val="center"/>
        <w:rPr>
          <w:rFonts w:ascii="Times New Roman" w:hAnsi="Times New Roman"/>
          <w:sz w:val="28"/>
        </w:rPr>
      </w:pPr>
    </w:p>
    <w:tbl>
      <w:tblPr>
        <w:tblStyle w:val="T3"/>
        <w:tblW w:w="9473" w:type="dxa"/>
        <w:tblInd w:w="-255"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A0"/>
      </w:tblPr>
      <w:tblGrid/>
      <w:tr>
        <w:tc>
          <w:tcPr>
            <w:tcW w:w="2953" w:type="dxa"/>
          </w:tcPr>
          <w:p>
            <w:pPr>
              <w:shd w:val="clear" w:fill="FFFFFF"/>
              <w:spacing w:lineRule="auto" w:line="240" w:after="0" w:beforeAutospacing="0" w:afterAutospacing="0"/>
              <w:jc w:val="center"/>
              <w:rPr>
                <w:rFonts w:ascii="Times New Roman" w:hAnsi="Times New Roman"/>
                <w:sz w:val="24"/>
              </w:rPr>
            </w:pPr>
            <w:r>
              <w:rPr>
                <w:rFonts w:ascii="Times New Roman" w:hAnsi="Times New Roman"/>
                <w:b w:val="1"/>
                <w:sz w:val="24"/>
              </w:rPr>
              <w:t>Кваліфікаційні критерії</w:t>
            </w:r>
          </w:p>
        </w:tc>
        <w:tc>
          <w:tcPr>
            <w:tcW w:w="6520" w:type="dxa"/>
          </w:tcPr>
          <w:p>
            <w:pPr>
              <w:shd w:val="clear" w:fill="FFFFFF"/>
              <w:spacing w:lineRule="auto" w:line="240" w:after="0" w:beforeAutospacing="0" w:afterAutospacing="0"/>
              <w:jc w:val="center"/>
              <w:rPr>
                <w:rFonts w:ascii="Times New Roman" w:hAnsi="Times New Roman"/>
                <w:sz w:val="24"/>
              </w:rPr>
            </w:pPr>
            <w:r>
              <w:rPr>
                <w:rFonts w:ascii="Times New Roman" w:hAnsi="Times New Roman"/>
                <w:b w:val="1"/>
                <w:sz w:val="24"/>
              </w:rPr>
              <w:t>Перелік документів, які підтверджують відповідність кваліфікаційним критеріям</w:t>
            </w:r>
          </w:p>
        </w:tc>
      </w:tr>
      <w:tr>
        <w:tc>
          <w:tcPr>
            <w:tcW w:w="2953" w:type="dxa"/>
          </w:tcPr>
          <w:p>
            <w:pPr>
              <w:tabs>
                <w:tab w:val="left" w:pos="823" w:leader="none"/>
              </w:tabs>
              <w:spacing w:lineRule="auto" w:line="240" w:after="0" w:beforeAutospacing="0" w:afterAutospacing="0"/>
              <w:ind w:firstLine="3"/>
              <w:rPr>
                <w:rFonts w:ascii="Times New Roman" w:hAnsi="Times New Roman"/>
                <w:sz w:val="24"/>
              </w:rPr>
            </w:pPr>
            <w:r>
              <w:rPr>
                <w:rFonts w:ascii="Times New Roman" w:hAnsi="Times New Roman"/>
                <w:sz w:val="24"/>
                <w:shd w:val="clear"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520" w:type="dxa"/>
          </w:tcPr>
          <w:p>
            <w:pPr>
              <w:tabs>
                <w:tab w:val="left" w:pos="823" w:leader="none"/>
              </w:tabs>
              <w:spacing w:lineRule="auto" w:line="240" w:after="0" w:beforeAutospacing="0" w:afterAutospacing="0"/>
              <w:ind w:firstLine="459"/>
              <w:jc w:val="both"/>
              <w:rPr>
                <w:rFonts w:ascii="Times New Roman" w:hAnsi="Times New Roman"/>
                <w:sz w:val="24"/>
              </w:rPr>
            </w:pPr>
            <w:r>
              <w:rPr>
                <w:rFonts w:ascii="Times New Roman" w:hAnsi="Times New Roman"/>
                <w:sz w:val="24"/>
              </w:rPr>
              <w:t>Копії двох аналогічних договорів з наданням підтверджуючих документів про виконання договорів (первинні бухгалтерські документи, копії інших документів, що підтверджують факт виконання відповідного аналогічного договору з виконання його у повному обсязі).</w:t>
            </w:r>
          </w:p>
          <w:p>
            <w:pPr>
              <w:tabs>
                <w:tab w:val="left" w:pos="823" w:leader="none"/>
              </w:tabs>
              <w:spacing w:lineRule="auto" w:line="240" w:after="0" w:beforeAutospacing="0" w:afterAutospacing="0"/>
              <w:ind w:firstLine="459"/>
              <w:jc w:val="both"/>
              <w:rPr>
                <w:rFonts w:ascii="Times New Roman" w:hAnsi="Times New Roman"/>
                <w:sz w:val="24"/>
              </w:rPr>
            </w:pPr>
            <w:r>
              <w:rPr>
                <w:rFonts w:ascii="Times New Roman" w:hAnsi="Times New Roman"/>
                <w:sz w:val="24"/>
              </w:rPr>
              <w:t xml:space="preserve">Аналогічними вважаються договори на постачання Товару за кодом </w:t>
            </w:r>
            <w:r>
              <w:rPr>
                <w:rFonts w:ascii="Times New Roman" w:hAnsi="Times New Roman"/>
                <w:color w:val="000000"/>
                <w:sz w:val="24"/>
              </w:rPr>
              <w:t xml:space="preserve">ДК 021:2015: </w:t>
            </w:r>
            <w:r>
              <w:rPr>
                <w:rFonts w:ascii="Times New Roman" w:hAnsi="Times New Roman"/>
                <w:sz w:val="24"/>
              </w:rPr>
              <w:t xml:space="preserve">42910000-8  Апарати для дистилювання, фільтрування чи ректифікації.</w:t>
            </w:r>
          </w:p>
        </w:tc>
      </w:tr>
      <w:tr>
        <w:tc>
          <w:tcPr>
            <w:tcW w:w="2953" w:type="dxa"/>
          </w:tcPr>
          <w:p>
            <w:pPr>
              <w:tabs>
                <w:tab w:val="left" w:pos="823" w:leader="none"/>
              </w:tabs>
              <w:spacing w:lineRule="auto" w:line="240" w:after="0" w:beforeAutospacing="0" w:afterAutospacing="0"/>
              <w:ind w:firstLine="3"/>
              <w:rPr>
                <w:rFonts w:ascii="Times New Roman" w:hAnsi="Times New Roman"/>
                <w:sz w:val="24"/>
              </w:rPr>
            </w:pPr>
            <w:r>
              <w:rPr>
                <w:rFonts w:ascii="Times New Roman" w:hAnsi="Times New Roman"/>
                <w:sz w:val="24"/>
              </w:rPr>
              <w:t>Наявність фінансової спроможності, яка підтверджується фінансовою звітністю</w:t>
            </w:r>
          </w:p>
        </w:tc>
        <w:tc>
          <w:tcPr>
            <w:tcW w:w="6520" w:type="dxa"/>
          </w:tcPr>
          <w:p>
            <w:pPr>
              <w:spacing w:lineRule="auto" w:line="240" w:after="0" w:beforeAutospacing="0" w:afterAutospacing="0"/>
              <w:ind w:firstLine="455"/>
              <w:jc w:val="both"/>
              <w:rPr>
                <w:rFonts w:ascii="Times New Roman" w:hAnsi="Times New Roman"/>
                <w:sz w:val="24"/>
              </w:rPr>
            </w:pPr>
            <w:r>
              <w:rPr>
                <w:rFonts w:ascii="Times New Roman" w:hAnsi="Times New Roman"/>
                <w:sz w:val="24"/>
              </w:rPr>
              <w:t>Для підтвердження фінансової спроможності учасник у складі тендерної пропозиції повинен надати документи фінансової звітності за останній звітний період: Баланс (форма № 1), Звіт про фінансові результати (форма № 2) з відмітками про прийняття уповноваженим органом, або інші документи фінансової звітності.</w:t>
            </w:r>
          </w:p>
          <w:p>
            <w:pPr>
              <w:shd w:val="clear" w:fill="FFFFFF"/>
              <w:spacing w:lineRule="auto" w:line="240" w:after="0" w:beforeAutospacing="0" w:afterAutospacing="0"/>
              <w:ind w:firstLine="455"/>
              <w:jc w:val="both"/>
              <w:rPr>
                <w:rFonts w:ascii="Times New Roman" w:hAnsi="Times New Roman"/>
                <w:sz w:val="24"/>
              </w:rPr>
            </w:pPr>
            <w:r>
              <w:rPr>
                <w:rFonts w:ascii="Times New Roman" w:hAnsi="Times New Roman"/>
                <w:sz w:val="24"/>
              </w:rPr>
              <w:t>У разі, якщо учасник відповідно до норм чинного законодавства не зобов’язаний складати вказані документи, він подає довідку пояснення щодо не можливості подання документів, а також зазначає інформацію про законодавчі підстави для ведення інших фінансових документів, що є документами фінансової звітності.</w:t>
            </w:r>
          </w:p>
          <w:p>
            <w:pPr>
              <w:shd w:val="clear" w:fill="FFFFFF"/>
              <w:spacing w:lineRule="auto" w:line="240" w:after="0" w:beforeAutospacing="0" w:afterAutospacing="0"/>
              <w:ind w:firstLine="455"/>
              <w:jc w:val="both"/>
              <w:rPr>
                <w:rFonts w:ascii="Times New Roman" w:hAnsi="Times New Roman"/>
                <w:sz w:val="24"/>
              </w:rPr>
            </w:pPr>
            <w:r>
              <w:rPr>
                <w:rFonts w:ascii="Times New Roman" w:hAnsi="Times New Roman"/>
                <w:sz w:val="24"/>
              </w:rPr>
              <w:t>Показники звітності щодо обсягу річного доходу (виручки) повинні бути не менше ніж 50% від очікуваної вартості закупівлі.</w:t>
            </w:r>
          </w:p>
        </w:tc>
      </w:tr>
    </w:tbl>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b w:val="1"/>
          <w:sz w:val="24"/>
          <w:u w:val="single"/>
        </w:rPr>
      </w:pPr>
      <w:r>
        <w:rPr>
          <w:rFonts w:ascii="Times New Roman" w:hAnsi="Times New Roman"/>
          <w:b w:val="1"/>
          <w:sz w:val="24"/>
        </w:rPr>
        <w:t>ІІ.  </w:t>
      </w:r>
      <w:r>
        <w:rPr>
          <w:rFonts w:ascii="Times New Roman" w:hAnsi="Times New Roman"/>
          <w:b w:val="1"/>
          <w:sz w:val="24"/>
          <w:u w:val="single"/>
        </w:rPr>
        <w:t>Підтвердження відсутності підстав для відмови в участі у процедурі закупівлі у Учасника та переможця визначених у пункті 47 Особливостей</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b w:val="1"/>
          <w:sz w:val="24"/>
        </w:rPr>
        <w:t>1. Учасник процедури</w:t>
      </w:r>
      <w:r>
        <w:rPr>
          <w:rFonts w:ascii="Times New Roman" w:hAnsi="Times New Roman"/>
          <w:sz w:val="24"/>
        </w:rPr>
        <w:t xml:space="preserve"> закупівлі підтверджує відсутність підстав, зазначених в пункті 47 Особливостей (крім </w:t>
      </w:r>
      <w:r>
        <w:rPr>
          <w:rFonts w:ascii="Times New Roman" w:hAnsi="Times New Roman"/>
          <w:sz w:val="24"/>
        </w:rPr>
        <w:fldChar w:fldCharType="begin"/>
      </w:r>
      <w:r>
        <w:rPr>
          <w:rFonts w:ascii="Times New Roman" w:hAnsi="Times New Roman"/>
          <w:sz w:val="24"/>
        </w:rPr>
        <w:instrText>HYPERLINK "https://zakon.rada.gov.ua/laws/show/1178-2022-%D0%BF" \l "n616"</w:instrText>
      </w:r>
      <w:r>
        <w:rPr>
          <w:rFonts w:ascii="Times New Roman" w:hAnsi="Times New Roman"/>
          <w:sz w:val="24"/>
        </w:rPr>
        <w:fldChar w:fldCharType="separate"/>
      </w:r>
      <w:r>
        <w:rPr>
          <w:rFonts w:ascii="Times New Roman" w:hAnsi="Times New Roman"/>
          <w:sz w:val="24"/>
          <w:u w:val="single"/>
        </w:rPr>
        <w:t>підпунктів 1</w:t>
      </w:r>
      <w:r>
        <w:rPr>
          <w:rFonts w:ascii="Times New Roman" w:hAnsi="Times New Roman"/>
          <w:sz w:val="24"/>
          <w:u w:val="single"/>
        </w:rPr>
        <w:fldChar w:fldCharType="end"/>
      </w:r>
      <w:r>
        <w:rPr>
          <w:rFonts w:ascii="Times New Roman" w:hAnsi="Times New Roman"/>
          <w:sz w:val="24"/>
        </w:rPr>
        <w:t xml:space="preserve"> і </w:t>
      </w:r>
      <w:r>
        <w:rPr>
          <w:rFonts w:ascii="Times New Roman" w:hAnsi="Times New Roman"/>
          <w:sz w:val="24"/>
        </w:rPr>
        <w:fldChar w:fldCharType="begin"/>
      </w:r>
      <w:r>
        <w:rPr>
          <w:rFonts w:ascii="Times New Roman" w:hAnsi="Times New Roman"/>
          <w:sz w:val="24"/>
        </w:rPr>
        <w:instrText>HYPERLINK "https://zakon.rada.gov.ua/laws/show/1178-2022-%D0%BF" \l "n622"</w:instrText>
      </w:r>
      <w:r>
        <w:rPr>
          <w:rFonts w:ascii="Times New Roman" w:hAnsi="Times New Roman"/>
          <w:sz w:val="24"/>
        </w:rPr>
        <w:fldChar w:fldCharType="separate"/>
      </w:r>
      <w:r>
        <w:rPr>
          <w:rFonts w:ascii="Times New Roman" w:hAnsi="Times New Roman"/>
          <w:sz w:val="24"/>
          <w:u w:val="single"/>
        </w:rPr>
        <w:t>7</w:t>
      </w:r>
      <w:r>
        <w:rPr>
          <w:rFonts w:ascii="Times New Roman" w:hAnsi="Times New Roman"/>
          <w:sz w:val="24"/>
          <w:u w:val="single"/>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"https://zakon.rada.gov.ua/laws/show/1178-2022-%D0%BF" \l "n628"</w:instrText>
      </w:r>
      <w:r>
        <w:rPr>
          <w:rFonts w:ascii="Times New Roman" w:hAnsi="Times New Roman"/>
          <w:sz w:val="24"/>
        </w:rPr>
        <w:fldChar w:fldCharType="separate"/>
      </w:r>
      <w:r>
        <w:rPr>
          <w:rFonts w:ascii="Times New Roman" w:hAnsi="Times New Roman"/>
          <w:sz w:val="24"/>
          <w:u w:val="single"/>
        </w:rPr>
        <w:t>абзацу чотирнадцятого</w:t>
      </w:r>
      <w:r>
        <w:rPr>
          <w:rFonts w:ascii="Times New Roman" w:hAnsi="Times New Roman"/>
          <w:sz w:val="24"/>
          <w:u w:val="single"/>
        </w:rPr>
        <w:fldChar w:fldCharType="end"/>
      </w:r>
      <w:r>
        <w:rPr>
          <w:rFonts w:ascii="Times New Roman" w:hAnsi="Times New Roman"/>
          <w:sz w:val="24"/>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Pr>
          <w:rFonts w:ascii="Times New Roman" w:hAnsi="Times New Roman"/>
          <w:sz w:val="24"/>
        </w:rPr>
        <w:fldChar w:fldCharType="begin"/>
      </w:r>
      <w:r>
        <w:rPr>
          <w:rFonts w:ascii="Times New Roman" w:hAnsi="Times New Roman"/>
          <w:sz w:val="24"/>
        </w:rPr>
        <w:instrText>HYPERLINK "https://zakon.rada.gov.ua/laws/show/2210-14" \l "n52"</w:instrText>
      </w:r>
      <w:r>
        <w:rPr>
          <w:rFonts w:ascii="Times New Roman" w:hAnsi="Times New Roman"/>
          <w:sz w:val="24"/>
        </w:rPr>
        <w:fldChar w:fldCharType="separate"/>
      </w:r>
      <w:r>
        <w:rPr>
          <w:rFonts w:ascii="Times New Roman" w:hAnsi="Times New Roman"/>
          <w:sz w:val="24"/>
          <w:u w:val="single"/>
        </w:rPr>
        <w:t>пунктом 4</w:t>
      </w:r>
      <w:r>
        <w:rPr>
          <w:rFonts w:ascii="Times New Roman" w:hAnsi="Times New Roman"/>
          <w:sz w:val="24"/>
          <w:u w:val="single"/>
        </w:rPr>
        <w:fldChar w:fldCharType="end"/>
      </w:r>
      <w:r>
        <w:rPr>
          <w:rFonts w:ascii="Times New Roman" w:hAnsi="Times New Roman"/>
          <w:sz w:val="24"/>
        </w:rPr>
        <w:t xml:space="preserve"> частини другої статті 6, </w:t>
      </w:r>
      <w:r>
        <w:rPr>
          <w:rFonts w:ascii="Times New Roman" w:hAnsi="Times New Roman"/>
          <w:sz w:val="24"/>
        </w:rPr>
        <w:fldChar w:fldCharType="begin"/>
      </w:r>
      <w:r>
        <w:rPr>
          <w:rFonts w:ascii="Times New Roman" w:hAnsi="Times New Roman"/>
          <w:sz w:val="24"/>
        </w:rPr>
        <w:instrText>HYPERLINK "https://zakon.rada.gov.ua/laws/show/2210-14" \l "n456"</w:instrText>
      </w:r>
      <w:r>
        <w:rPr>
          <w:rFonts w:ascii="Times New Roman" w:hAnsi="Times New Roman"/>
          <w:sz w:val="24"/>
        </w:rPr>
        <w:fldChar w:fldCharType="separate"/>
      </w:r>
      <w:r>
        <w:rPr>
          <w:rFonts w:ascii="Times New Roman" w:hAnsi="Times New Roman"/>
          <w:sz w:val="24"/>
          <w:u w:val="single"/>
        </w:rPr>
        <w:t>пунктом 1</w:t>
      </w:r>
      <w:r>
        <w:rPr>
          <w:rFonts w:ascii="Times New Roman" w:hAnsi="Times New Roman"/>
          <w:sz w:val="24"/>
          <w:u w:val="single"/>
        </w:rPr>
        <w:fldChar w:fldCharType="end"/>
      </w:r>
      <w:r>
        <w:rPr>
          <w:rFonts w:ascii="Times New Roman" w:hAnsi="Times New Roman"/>
          <w:sz w:val="24"/>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8) учасник процедури закупівлі визнаний в установленому законом порядку банкрутом та стосовно нього відкрита ліквідаційна процедура;</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r>
        <w:rPr>
          <w:rFonts w:ascii="Times New Roman" w:hAnsi="Times New Roman"/>
          <w:sz w:val="24"/>
        </w:rPr>
        <w:fldChar w:fldCharType="begin"/>
      </w:r>
      <w:r>
        <w:rPr>
          <w:rFonts w:ascii="Times New Roman" w:hAnsi="Times New Roman"/>
          <w:sz w:val="24"/>
        </w:rPr>
        <w:instrText>HYPERLINK "https://zakon.rada.gov.ua/laws/show/755-15" \l "n174"</w:instrText>
      </w:r>
      <w:r>
        <w:rPr>
          <w:rFonts w:ascii="Times New Roman" w:hAnsi="Times New Roman"/>
          <w:sz w:val="24"/>
        </w:rPr>
        <w:fldChar w:fldCharType="separate"/>
      </w:r>
      <w:r>
        <w:rPr>
          <w:rFonts w:ascii="Times New Roman" w:hAnsi="Times New Roman"/>
          <w:sz w:val="24"/>
          <w:u w:val="single"/>
        </w:rPr>
        <w:t>пунктом 9</w:t>
      </w:r>
      <w:r>
        <w:rPr>
          <w:rFonts w:ascii="Times New Roman" w:hAnsi="Times New Roman"/>
          <w:sz w:val="24"/>
          <w:u w:val="single"/>
        </w:rPr>
        <w:fldChar w:fldCharType="end"/>
      </w:r>
      <w:r>
        <w:rPr>
          <w:rFonts w:ascii="Times New Roman" w:hAnsi="Times New Roman"/>
          <w:sz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r>
        <w:rPr>
          <w:rFonts w:ascii="Times New Roman" w:hAnsi="Times New Roman"/>
          <w:sz w:val="24"/>
        </w:rPr>
        <w:fldChar w:fldCharType="begin"/>
      </w:r>
      <w:r>
        <w:rPr>
          <w:rFonts w:ascii="Times New Roman" w:hAnsi="Times New Roman"/>
          <w:sz w:val="24"/>
        </w:rPr>
        <w:instrText>HYPERLINK "https://zakon.rada.gov.ua/laws/show/1644-18"</w:instrText>
      </w:r>
      <w:r>
        <w:rPr>
          <w:rFonts w:ascii="Times New Roman" w:hAnsi="Times New Roman"/>
          <w:sz w:val="24"/>
        </w:rPr>
        <w:fldChar w:fldCharType="separate"/>
      </w:r>
      <w:r>
        <w:rPr>
          <w:rFonts w:ascii="Times New Roman" w:hAnsi="Times New Roman"/>
          <w:sz w:val="24"/>
          <w:u w:val="single"/>
        </w:rPr>
        <w:t>Законом України</w:t>
      </w:r>
      <w:r>
        <w:rPr>
          <w:rFonts w:ascii="Times New Roman" w:hAnsi="Times New Roman"/>
          <w:sz w:val="24"/>
          <w:u w:val="single"/>
        </w:rPr>
        <w:fldChar w:fldCharType="end"/>
      </w:r>
      <w:r>
        <w:rPr>
          <w:rFonts w:ascii="Times New Roman" w:hAnsi="Times New Roman"/>
          <w:sz w:val="24"/>
        </w:rPr>
        <w:t xml:space="preserve"> “Про санкції”;</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b w:val="1"/>
          <w:sz w:val="24"/>
        </w:rPr>
        <w:t>2. Замовник</w:t>
      </w:r>
      <w:r>
        <w:rPr>
          <w:rFonts w:ascii="Times New Roman" w:hAnsi="Times New Roman"/>
          <w:sz w:val="24"/>
        </w:rPr>
        <w:t xml:space="preserve">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hd w:val="clear" w:fill="FFFFFF"/>
        <w:spacing w:lineRule="auto" w:line="240" w:after="0" w:beforeAutospacing="0" w:afterAutospacing="0"/>
        <w:ind w:firstLine="567"/>
        <w:jc w:val="both"/>
        <w:rPr>
          <w:rFonts w:ascii="Times New Roman" w:hAnsi="Times New Roman"/>
          <w:sz w:val="24"/>
        </w:rPr>
      </w:pPr>
      <w:r>
        <w:rPr>
          <w:rFonts w:ascii="Times New Roman" w:hAnsi="Times New Roman"/>
          <w:sz w:val="24"/>
        </w:rPr>
        <w:t>Учасники на підтвердження зазначених вимог надають довідку в довільній формі щодо виконання/невиконання своїх зобов’язання за раніше укладеним договором про закупівлю із Замовником.</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b w:val="1"/>
          <w:sz w:val="24"/>
        </w:rPr>
        <w:t>3. Переможець процедури</w:t>
      </w:r>
      <w:r>
        <w:rPr>
          <w:rFonts w:ascii="Times New Roman" w:hAnsi="Times New Roman"/>
          <w:sz w:val="24"/>
        </w:rPr>
        <w:t xml:space="preserve">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Pr>
          <w:rFonts w:ascii="Times New Roman" w:hAnsi="Times New Roman"/>
          <w:sz w:val="24"/>
        </w:rPr>
        <w:fldChar w:fldCharType="begin"/>
      </w:r>
      <w:r>
        <w:rPr>
          <w:rFonts w:ascii="Times New Roman" w:hAnsi="Times New Roman"/>
          <w:sz w:val="24"/>
        </w:rPr>
        <w:instrText>HYPERLINK "https://zakon.rada.gov.ua/laws/show/1178-2022-%D0%BF" \l "n618"</w:instrText>
      </w:r>
      <w:r>
        <w:rPr>
          <w:rFonts w:ascii="Times New Roman" w:hAnsi="Times New Roman"/>
          <w:sz w:val="24"/>
        </w:rPr>
        <w:fldChar w:fldCharType="separate"/>
      </w:r>
      <w:r>
        <w:rPr>
          <w:rFonts w:ascii="Times New Roman" w:hAnsi="Times New Roman"/>
          <w:sz w:val="24"/>
          <w:u w:val="single"/>
        </w:rPr>
        <w:t>підпунктах 3</w:t>
      </w:r>
      <w:r>
        <w:rPr>
          <w:rFonts w:ascii="Times New Roman" w:hAnsi="Times New Roman"/>
          <w:sz w:val="24"/>
          <w:u w:val="single"/>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"https://zakon.rada.gov.ua/laws/show/1178-2022-%D0%BF" \l "n620"</w:instrText>
      </w:r>
      <w:r>
        <w:rPr>
          <w:rFonts w:ascii="Times New Roman" w:hAnsi="Times New Roman"/>
          <w:sz w:val="24"/>
        </w:rPr>
        <w:fldChar w:fldCharType="separate"/>
      </w:r>
      <w:r>
        <w:rPr>
          <w:rFonts w:ascii="Times New Roman" w:hAnsi="Times New Roman"/>
          <w:sz w:val="24"/>
          <w:u w:val="single"/>
        </w:rPr>
        <w:t>5</w:t>
      </w:r>
      <w:r>
        <w:rPr>
          <w:rFonts w:ascii="Times New Roman" w:hAnsi="Times New Roman"/>
          <w:sz w:val="24"/>
          <w:u w:val="single"/>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"https://zakon.rada.gov.ua/laws/show/1178-2022-%D0%BF" \l "n621"</w:instrText>
      </w:r>
      <w:r>
        <w:rPr>
          <w:rFonts w:ascii="Times New Roman" w:hAnsi="Times New Roman"/>
          <w:sz w:val="24"/>
        </w:rPr>
        <w:fldChar w:fldCharType="separate"/>
      </w:r>
      <w:r>
        <w:rPr>
          <w:rFonts w:ascii="Times New Roman" w:hAnsi="Times New Roman"/>
          <w:sz w:val="24"/>
          <w:u w:val="single"/>
        </w:rPr>
        <w:t>6</w:t>
      </w:r>
      <w:r>
        <w:rPr>
          <w:rFonts w:ascii="Times New Roman" w:hAnsi="Times New Roman"/>
          <w:sz w:val="24"/>
          <w:u w:val="single"/>
        </w:rPr>
        <w:fldChar w:fldCharType="end"/>
      </w:r>
      <w:r>
        <w:rPr>
          <w:rFonts w:ascii="Times New Roman" w:hAnsi="Times New Roman"/>
          <w:sz w:val="24"/>
          <w:u w:val="single"/>
        </w:rPr>
        <w:t>, 8</w:t>
      </w:r>
      <w:r>
        <w:rPr>
          <w:rFonts w:ascii="Times New Roman" w:hAnsi="Times New Roman"/>
          <w:sz w:val="24"/>
        </w:rPr>
        <w:t xml:space="preserve"> і </w:t>
      </w:r>
      <w:r>
        <w:rPr>
          <w:rFonts w:ascii="Times New Roman" w:hAnsi="Times New Roman"/>
          <w:sz w:val="24"/>
        </w:rPr>
        <w:fldChar w:fldCharType="begin"/>
      </w:r>
      <w:r>
        <w:rPr>
          <w:rFonts w:ascii="Times New Roman" w:hAnsi="Times New Roman"/>
          <w:sz w:val="24"/>
        </w:rPr>
        <w:instrText>HYPERLINK "https://zakon.rada.gov.ua/laws/show/1178-2022-%D0%BF" \l "n627"</w:instrText>
      </w:r>
      <w:r>
        <w:rPr>
          <w:rFonts w:ascii="Times New Roman" w:hAnsi="Times New Roman"/>
          <w:sz w:val="24"/>
        </w:rPr>
        <w:fldChar w:fldCharType="separate"/>
      </w:r>
      <w:r>
        <w:rPr>
          <w:rFonts w:ascii="Times New Roman" w:hAnsi="Times New Roman"/>
          <w:sz w:val="24"/>
          <w:u w:val="single"/>
        </w:rPr>
        <w:t>12</w:t>
      </w:r>
      <w:r>
        <w:rPr>
          <w:rFonts w:ascii="Times New Roman" w:hAnsi="Times New Roman"/>
          <w:sz w:val="24"/>
          <w:u w:val="single"/>
        </w:rPr>
        <w:fldChar w:fldCharType="end"/>
      </w:r>
      <w:r>
        <w:rPr>
          <w:rFonts w:ascii="Times New Roman" w:hAnsi="Times New Roman"/>
          <w:sz w:val="24"/>
        </w:rPr>
        <w:t xml:space="preserve"> та в </w:t>
      </w:r>
      <w:r>
        <w:rPr>
          <w:rFonts w:ascii="Times New Roman" w:hAnsi="Times New Roman"/>
          <w:sz w:val="24"/>
        </w:rPr>
        <w:fldChar w:fldCharType="begin"/>
      </w:r>
      <w:r>
        <w:rPr>
          <w:rFonts w:ascii="Times New Roman" w:hAnsi="Times New Roman"/>
          <w:sz w:val="24"/>
        </w:rPr>
        <w:instrText>HYPERLINK "https://zakon.rada.gov.ua/laws/show/1178-2022-%D0%BF" \l "n628"</w:instrText>
      </w:r>
      <w:r>
        <w:rPr>
          <w:rFonts w:ascii="Times New Roman" w:hAnsi="Times New Roman"/>
          <w:sz w:val="24"/>
        </w:rPr>
        <w:fldChar w:fldCharType="separate"/>
      </w:r>
      <w:r>
        <w:rPr>
          <w:rFonts w:ascii="Times New Roman" w:hAnsi="Times New Roman"/>
          <w:sz w:val="24"/>
          <w:u w:val="single"/>
        </w:rPr>
        <w:t>абзаці чотирнадцятому</w:t>
      </w:r>
      <w:r>
        <w:rPr>
          <w:rFonts w:ascii="Times New Roman" w:hAnsi="Times New Roman"/>
          <w:sz w:val="24"/>
          <w:u w:val="single"/>
        </w:rPr>
        <w:fldChar w:fldCharType="end"/>
      </w:r>
      <w:r>
        <w:rPr>
          <w:rFonts w:ascii="Times New Roman" w:hAnsi="Times New Roman"/>
          <w:sz w:val="24"/>
        </w:rPr>
        <w:t xml:space="preserve"> пункту 47 Особливостей, а саме:</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(якщо учасником є юридична особа) або фізичної особи, яка є учасником процедури закупівлі (не більше місячної давнини відносно кінцевої дати подання тендерних пропозицій).</w:t>
      </w:r>
    </w:p>
    <w:p>
      <w:pPr>
        <w:shd w:val="clear" w:fill="FFFFFF"/>
        <w:tabs>
          <w:tab w:val="left" w:pos="180" w:leader="none"/>
        </w:tabs>
        <w:spacing w:after="0" w:beforeAutospacing="0" w:afterAutospacing="0"/>
        <w:ind w:firstLine="460"/>
        <w:jc w:val="both"/>
        <w:rPr>
          <w:rFonts w:ascii="Times New Roman" w:hAnsi="Times New Roman"/>
          <w:i w:val="1"/>
          <w:sz w:val="24"/>
        </w:rPr>
      </w:pPr>
      <w:r>
        <w:rPr>
          <w:rFonts w:ascii="Times New Roman" w:hAnsi="Times New Roman"/>
          <w:i w:val="1"/>
          <w:sz w:val="24"/>
        </w:rPr>
        <w:t xml:space="preserve">* Надається в період відсутності функціональної можливості перевірки інформації з </w:t>
      </w:r>
      <w:r>
        <w:rPr>
          <w:rFonts w:ascii="Times New Roman" w:hAnsi="Times New Roman"/>
          <w:sz w:val="24"/>
        </w:rPr>
        <w:t xml:space="preserve">веб-ресурса. </w:t>
      </w:r>
    </w:p>
    <w:p>
      <w:pPr>
        <w:tabs>
          <w:tab w:val="left" w:pos="180" w:leader="none"/>
        </w:tabs>
        <w:spacing w:after="0" w:beforeAutospacing="0" w:afterAutospacing="0"/>
        <w:ind w:firstLine="566"/>
        <w:jc w:val="both"/>
        <w:rPr>
          <w:rFonts w:ascii="Times New Roman" w:hAnsi="Times New Roman"/>
          <w:i w:val="1"/>
          <w:sz w:val="24"/>
        </w:rPr>
      </w:pPr>
      <w:r>
        <w:rPr>
          <w:rFonts w:ascii="Times New Roman" w:hAnsi="Times New Roman"/>
          <w:i w:val="1"/>
          <w:sz w:val="24"/>
        </w:rPr>
        <w:t>Оскільки обмежені функції пошуку та перегляду відомостей про осіб, притягнутих до кримінальної, адміністративної, дисциплінарної відповідальності за вчинення корупційного або пов’язаного з корупцією правопорушення, перевірка довідок Єдиного державного реєстру осіб, які вчинили корупційні або пов’язані з корупцією правопорушення, а також доступ до публічного АРІ будуть відновлені після закінчення воєнного стану в Україні. (https://corruptinfo.nazk.gov.ua/).</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2)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(не більше місячної давнини відносно кінцевої дати подання тендерних пропозицій) (для фізичних осіб, у тому числі фізичних осіб - підприємців).</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3)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(не більше місячної давнини відносно кінцевої дати подання тендерних пропозицій) (для юридичних осіб).</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4) підстави, що зазначені у абзаці чотирнадцятому пункту 47 Особливостей.</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Учасники на підтвердження зазначених вимог надають довідку в довільній формі щодо виконання/невиконання своїх зобов’язання за раніше укладеним договором про закупівлю із Замовником, та документи, які підтверджують вжиття заходів у разі наявних обставин щодо невиконання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pPr>
        <w:shd w:val="clear" w:fill="FFFFFF"/>
        <w:tabs>
          <w:tab w:val="left" w:pos="180" w:leader="none"/>
        </w:tabs>
        <w:spacing w:lineRule="auto" w:line="240" w:after="0" w:beforeAutospacing="0" w:afterAutospacing="0"/>
        <w:ind w:firstLine="566"/>
        <w:jc w:val="both"/>
        <w:rPr>
          <w:rFonts w:ascii="Times New Roman" w:hAnsi="Times New Roman"/>
          <w:sz w:val="24"/>
        </w:rPr>
      </w:pPr>
      <w:r>
        <w:rPr>
          <w:rFonts w:ascii="Times New Roman" w:hAnsi="Times New Roman"/>
          <w:sz w:val="24"/>
        </w:rPr>
        <w:t xml:space="preserve">Замовник не вимагає документального підтвердження публічної інформації, що оприлюднена у формі відкритих даних згідно із </w:t>
      </w:r>
      <w:r>
        <w:rPr>
          <w:rFonts w:ascii="Times New Roman" w:hAnsi="Times New Roman"/>
          <w:sz w:val="24"/>
        </w:rPr>
        <w:fldChar w:fldCharType="begin"/>
      </w:r>
      <w:r>
        <w:rPr>
          <w:rFonts w:ascii="Times New Roman" w:hAnsi="Times New Roman"/>
          <w:sz w:val="24"/>
        </w:rPr>
        <w:instrText>HYPERLINK "https://zakon.rada.gov.ua/laws/show/2939-17"</w:instrText>
      </w:r>
      <w:r>
        <w:rPr>
          <w:rFonts w:ascii="Times New Roman" w:hAnsi="Times New Roman"/>
          <w:sz w:val="24"/>
        </w:rPr>
        <w:fldChar w:fldCharType="separate"/>
      </w:r>
      <w:r>
        <w:rPr>
          <w:rFonts w:ascii="Times New Roman" w:hAnsi="Times New Roman"/>
          <w:sz w:val="24"/>
          <w:u w:val="single"/>
        </w:rPr>
        <w:t>Законом України</w:t>
      </w:r>
      <w:r>
        <w:rPr>
          <w:rFonts w:ascii="Times New Roman" w:hAnsi="Times New Roman"/>
          <w:sz w:val="24"/>
          <w:u w:val="single"/>
        </w:rPr>
        <w:fldChar w:fldCharType="end"/>
      </w:r>
      <w:r>
        <w:rPr>
          <w:rFonts w:ascii="Times New Roman" w:hAnsi="Times New Roman"/>
          <w:sz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shd w:val="clear" w:fill="FFFFFF"/>
        <w:tabs>
          <w:tab w:val="left" w:pos="180" w:leader="none"/>
        </w:tabs>
        <w:spacing w:lineRule="auto" w:line="240" w:after="0" w:beforeAutospacing="0" w:afterAutospacing="0"/>
        <w:ind w:firstLine="566"/>
        <w:jc w:val="both"/>
        <w:rPr>
          <w:rFonts w:ascii="Times New Roman" w:hAnsi="Times New Roman"/>
          <w:sz w:val="24"/>
        </w:rPr>
      </w:pPr>
      <w:r>
        <w:rPr>
          <w:rFonts w:ascii="Times New Roman" w:hAnsi="Times New Roman"/>
        </w:rPr>
        <w:br w:type="page"/>
      </w:r>
    </w:p>
    <w:p>
      <w:pPr>
        <w:spacing w:lineRule="auto" w:line="240" w:after="0" w:beforeAutospacing="0" w:afterAutospacing="0"/>
        <w:ind w:left="-284"/>
        <w:jc w:val="right"/>
        <w:rPr>
          <w:rFonts w:ascii="Times New Roman" w:hAnsi="Times New Roman"/>
          <w:sz w:val="24"/>
        </w:rPr>
      </w:pPr>
      <w:r>
        <w:rPr>
          <w:rFonts w:ascii="Times New Roman" w:hAnsi="Times New Roman"/>
          <w:b w:val="1"/>
          <w:sz w:val="24"/>
        </w:rPr>
        <w:t>Додаток ІІ</w:t>
      </w:r>
    </w:p>
    <w:p>
      <w:pPr>
        <w:widowControl w:val="0"/>
        <w:spacing w:lineRule="auto" w:line="240" w:after="0" w:beforeAutospacing="0" w:afterAutospacing="0"/>
        <w:jc w:val="center"/>
        <w:rPr>
          <w:rFonts w:ascii="Times New Roman" w:hAnsi="Times New Roman"/>
          <w:sz w:val="24"/>
        </w:rPr>
      </w:pPr>
      <w:bookmarkStart w:id="5" w:name="bookmark=kix.c1cy9wcvop2f"/>
      <w:bookmarkEnd w:id="5"/>
    </w:p>
    <w:p>
      <w:pPr>
        <w:pStyle w:val="P13"/>
        <w:jc w:val="center"/>
        <w:rPr>
          <w:rFonts w:ascii="Times New Roman" w:hAnsi="Times New Roman"/>
          <w:b w:val="1"/>
          <w:sz w:val="24"/>
        </w:rPr>
      </w:pPr>
      <w:r>
        <w:rPr>
          <w:rFonts w:ascii="Times New Roman" w:hAnsi="Times New Roman"/>
          <w:b w:val="1"/>
          <w:sz w:val="24"/>
        </w:rPr>
        <w:t>ТЕХНІЧНЕ ЗАВДАННЯ</w:t>
      </w:r>
    </w:p>
    <w:p>
      <w:pPr>
        <w:pStyle w:val="P13"/>
        <w:jc w:val="center"/>
        <w:rPr>
          <w:rFonts w:ascii="Times New Roman" w:hAnsi="Times New Roman"/>
          <w:b w:val="1"/>
          <w:sz w:val="24"/>
        </w:rPr>
      </w:pPr>
      <w:r>
        <w:rPr>
          <w:rFonts w:ascii="Times New Roman" w:hAnsi="Times New Roman"/>
          <w:b w:val="1"/>
          <w:color w:val="auto"/>
          <w:sz w:val="24"/>
        </w:rPr>
        <w:t xml:space="preserve">42910000-8  Апарати для дистилювання, фільтрування чи ректифікації</w:t>
      </w:r>
      <w:bookmarkStart w:id="6" w:name="_GoBack"/>
      <w:bookmarkEnd w:id="6"/>
    </w:p>
    <w:p>
      <w:pPr>
        <w:pStyle w:val="P13"/>
        <w:jc w:val="center"/>
        <w:rPr>
          <w:rFonts w:ascii="Times New Roman" w:hAnsi="Times New Roman"/>
          <w:b w:val="1"/>
          <w:sz w:val="24"/>
        </w:rPr>
      </w:pPr>
    </w:p>
    <w:p>
      <w:pPr>
        <w:ind w:firstLine="708"/>
        <w:jc w:val="both"/>
        <w:rPr>
          <w:rFonts w:ascii="Times New Roman" w:hAnsi="Times New Roman"/>
          <w:color w:val="000000"/>
        </w:rPr>
      </w:pPr>
      <w:r>
        <w:rPr>
          <w:rFonts w:ascii="Times New Roman" w:hAnsi="Times New Roman"/>
          <w:color w:val="000000"/>
        </w:rPr>
        <w:t>Запропонований учасником товар повинен відповідати усім наведеним у Додатку ІІ до Тендерної документації технічним, якісним та кількісним вимогам Замовника. На підтвердження у складі тендерної пропозиції Учасник повинен надати заповнену порівняльну таблицю із зазначенням фактичних властивостей запропонованого товару з посиланням на технічну документації виробника</w:t>
      </w:r>
      <w:r>
        <w:rPr>
          <w:rFonts w:ascii="Times New Roman" w:hAnsi="Times New Roman"/>
          <w:b w:val="1"/>
          <w:color w:val="000000"/>
        </w:rPr>
        <w:t>.</w:t>
      </w:r>
    </w:p>
    <w:p>
      <w:pPr>
        <w:ind w:firstLine="708"/>
        <w:jc w:val="both"/>
        <w:rPr>
          <w:rFonts w:ascii="Times New Roman" w:hAnsi="Times New Roman"/>
        </w:rPr>
      </w:pPr>
      <w:r>
        <w:rPr>
          <w:rFonts w:ascii="Times New Roman" w:hAnsi="Times New Roman"/>
        </w:rPr>
        <w:t>На підтвердження зазначених властивостей запропонованого товару Учасник у складі своєї тендерної пропозиції повинен надати відповідний документ або його копію (перелік зазначений у Технічних вимогах Замовника). Якщо документ викладений іноземною мовою, Учасник повинен надати автентичний переклад на українську мову, засвідчений уповноваженою особою Учасника.</w:t>
      </w:r>
    </w:p>
    <w:p>
      <w:pPr>
        <w:ind w:firstLine="708"/>
        <w:jc w:val="both"/>
        <w:rPr>
          <w:rFonts w:ascii="Times New Roman" w:hAnsi="Times New Roman"/>
        </w:rPr>
      </w:pPr>
      <w:r>
        <w:rPr>
          <w:rFonts w:ascii="Times New Roman" w:hAnsi="Times New Roman"/>
          <w:color w:val="000000"/>
        </w:rPr>
        <w:t xml:space="preserve">З метою запобігання придбання Замовником фальсифікованої та/або контрабандної продукції учасник у складі тендерної пропозиції повинен надати гарантійного листа від виробника або його офіційного представника/дистриб’ютора в Україні на ім’я Замовника із зазначенням номеру закупівлі, яким підтверджується можливість поставки учасником товару, який є предметом даної закупівлі, у кількості, якості та в терміни, визначені цією Тендерною документацією </w:t>
      </w:r>
      <w:r>
        <w:rPr>
          <w:rFonts w:ascii="Times New Roman" w:hAnsi="Times New Roman"/>
        </w:rPr>
        <w:t>(зазначено у Технічних вимогах Замовника для товарів, яких це стосується).</w:t>
      </w:r>
    </w:p>
    <w:p>
      <w:pPr>
        <w:ind w:firstLine="708"/>
        <w:jc w:val="both"/>
        <w:rPr>
          <w:rFonts w:ascii="Times New Roman" w:hAnsi="Times New Roman"/>
        </w:rPr>
      </w:pPr>
      <w:r>
        <w:rPr>
          <w:rFonts w:ascii="Times New Roman" w:hAnsi="Times New Roman"/>
        </w:rPr>
        <w:t>У часник повинен гарантувати відповідність своєї тендерної пропозиції наступним вимогам Замовника:</w:t>
      </w:r>
    </w:p>
    <w:p>
      <w:pPr>
        <w:jc w:val="both"/>
        <w:rPr>
          <w:rFonts w:ascii="Times New Roman" w:hAnsi="Times New Roman"/>
        </w:rPr>
      </w:pPr>
      <w:r>
        <w:rPr>
          <w:rFonts w:ascii="Times New Roman" w:hAnsi="Times New Roman"/>
        </w:rPr>
        <w:t>1. На момент поставки запропонований товар є новим та не був у використанні.</w:t>
      </w:r>
    </w:p>
    <w:p>
      <w:pPr>
        <w:jc w:val="both"/>
        <w:rPr>
          <w:rFonts w:ascii="Times New Roman" w:hAnsi="Times New Roman"/>
        </w:rPr>
      </w:pPr>
      <w:r>
        <w:rPr>
          <w:rFonts w:ascii="Times New Roman" w:hAnsi="Times New Roman"/>
        </w:rPr>
        <w:t>2. Запропонований товар буде постачатись у оригінальній упаковці виробника та транспортуватись в упаковці, що забезпечить непошкодженість товару.</w:t>
      </w:r>
    </w:p>
    <w:p>
      <w:pPr>
        <w:jc w:val="both"/>
        <w:rPr>
          <w:rFonts w:ascii="Times New Roman" w:hAnsi="Times New Roman"/>
        </w:rPr>
      </w:pPr>
      <w:r>
        <w:rPr>
          <w:rFonts w:ascii="Times New Roman" w:hAnsi="Times New Roman"/>
        </w:rPr>
        <w:t>3. Товар буде постачатись окремими партіями не пізніше 10 календарних днів від дати запиту Замовника, але не пізніше 20.10.2023 року.</w:t>
      </w:r>
    </w:p>
    <w:p>
      <w:pPr>
        <w:pStyle w:val="P13"/>
        <w:jc w:val="center"/>
        <w:rPr>
          <w:rFonts w:ascii="Times New Roman" w:hAnsi="Times New Roman"/>
          <w:b w:val="1"/>
          <w:color w:val="FF0000"/>
          <w:sz w:val="20"/>
        </w:rPr>
      </w:pPr>
      <w:r>
        <w:rPr>
          <w:rFonts w:ascii="Times New Roman" w:hAnsi="Times New Roman"/>
          <w:b w:val="1"/>
        </w:rPr>
        <w:t>ПОРІВНЯЛЬНА ТАБЛИЦЯ</w:t>
      </w:r>
    </w:p>
    <w:p>
      <w:pPr>
        <w:pStyle w:val="P13"/>
        <w:jc w:val="center"/>
        <w:rPr>
          <w:rFonts w:ascii="Times New Roman" w:hAnsi="Times New Roman"/>
          <w:b w:val="1"/>
          <w:color w:val="FF0000"/>
        </w:rPr>
      </w:pPr>
    </w:p>
    <w:tbl>
      <w:tblPr>
        <w:tblW w:w="10255" w:type="dxa"/>
        <w:tblInd w:w="-431"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538" w:type="dxa"/>
            <w:shd w:val="clear" w:color="auto" w:fill="F2F2F2"/>
            <w:vAlign w:val="center"/>
          </w:tcPr>
          <w:p>
            <w:pPr>
              <w:tabs>
                <w:tab w:val="left" w:pos="0" w:leader="none"/>
              </w:tabs>
              <w:spacing w:lineRule="auto" w:line="240" w:after="0" w:beforeAutospacing="0" w:afterAutospacing="0"/>
              <w:jc w:val="center"/>
              <w:rPr>
                <w:rFonts w:ascii="Times New Roman" w:hAnsi="Times New Roman"/>
                <w:b w:val="1"/>
              </w:rPr>
            </w:pPr>
            <w:r>
              <w:rPr>
                <w:rFonts w:ascii="Times New Roman" w:hAnsi="Times New Roman"/>
                <w:b w:val="1"/>
              </w:rPr>
              <w:t>№</w:t>
            </w:r>
          </w:p>
        </w:tc>
        <w:tc>
          <w:tcPr>
            <w:tcW w:w="2228" w:type="dxa"/>
            <w:shd w:val="clear" w:color="auto" w:fill="F2F2F2"/>
            <w:vAlign w:val="center"/>
          </w:tcPr>
          <w:p>
            <w:pPr>
              <w:tabs>
                <w:tab w:val="left" w:pos="0" w:leader="none"/>
              </w:tabs>
              <w:spacing w:lineRule="auto" w:line="240" w:after="0" w:beforeAutospacing="0" w:afterAutospacing="0"/>
              <w:jc w:val="center"/>
              <w:rPr>
                <w:rFonts w:ascii="Times New Roman" w:hAnsi="Times New Roman"/>
                <w:b w:val="1"/>
              </w:rPr>
            </w:pPr>
            <w:r>
              <w:rPr>
                <w:rFonts w:ascii="Times New Roman" w:hAnsi="Times New Roman"/>
                <w:b w:val="1"/>
              </w:rPr>
              <w:t>Найменування товару, або еквівалент</w:t>
            </w:r>
          </w:p>
        </w:tc>
        <w:tc>
          <w:tcPr>
            <w:tcW w:w="826" w:type="dxa"/>
            <w:shd w:val="clear" w:color="auto" w:fill="F2F2F2"/>
            <w:vAlign w:val="center"/>
          </w:tcPr>
          <w:p>
            <w:pPr>
              <w:tabs>
                <w:tab w:val="left" w:pos="0" w:leader="none"/>
              </w:tabs>
              <w:spacing w:lineRule="auto" w:line="240" w:after="0" w:beforeAutospacing="0" w:afterAutospacing="0"/>
              <w:jc w:val="center"/>
              <w:rPr>
                <w:rFonts w:ascii="Times New Roman" w:hAnsi="Times New Roman"/>
                <w:b w:val="1"/>
              </w:rPr>
            </w:pPr>
            <w:r>
              <w:rPr>
                <w:rFonts w:ascii="Times New Roman" w:hAnsi="Times New Roman"/>
                <w:b w:val="1"/>
              </w:rPr>
              <w:t>Од. вим.</w:t>
            </w:r>
          </w:p>
        </w:tc>
        <w:tc>
          <w:tcPr>
            <w:tcW w:w="993" w:type="dxa"/>
            <w:shd w:val="clear" w:color="auto" w:fill="F2F2F2"/>
            <w:vAlign w:val="center"/>
          </w:tcPr>
          <w:p>
            <w:pPr>
              <w:tabs>
                <w:tab w:val="left" w:pos="0" w:leader="none"/>
              </w:tabs>
              <w:spacing w:lineRule="auto" w:line="240" w:after="0" w:beforeAutospacing="0" w:afterAutospacing="0"/>
              <w:jc w:val="center"/>
              <w:rPr>
                <w:rFonts w:ascii="Times New Roman" w:hAnsi="Times New Roman"/>
                <w:b w:val="1"/>
              </w:rPr>
            </w:pPr>
            <w:r>
              <w:rPr>
                <w:rFonts w:ascii="Times New Roman" w:hAnsi="Times New Roman"/>
                <w:b w:val="1"/>
              </w:rPr>
              <w:t xml:space="preserve">Кіл-ть </w:t>
            </w:r>
          </w:p>
        </w:tc>
        <w:tc>
          <w:tcPr>
            <w:tcW w:w="3543" w:type="dxa"/>
            <w:shd w:val="clear" w:color="auto" w:fill="F2F2F2"/>
            <w:vAlign w:val="center"/>
          </w:tcPr>
          <w:p>
            <w:pPr>
              <w:tabs>
                <w:tab w:val="left" w:pos="0" w:leader="none"/>
              </w:tabs>
              <w:spacing w:lineRule="auto" w:line="240" w:after="0" w:beforeAutospacing="0" w:afterAutospacing="0"/>
              <w:jc w:val="center"/>
              <w:rPr>
                <w:rFonts w:ascii="Times New Roman" w:hAnsi="Times New Roman"/>
                <w:b w:val="1"/>
              </w:rPr>
            </w:pPr>
            <w:r>
              <w:rPr>
                <w:rFonts w:ascii="Times New Roman" w:hAnsi="Times New Roman"/>
                <w:b w:val="1"/>
              </w:rPr>
              <w:t>Технічні вимоги Замовника</w:t>
            </w:r>
          </w:p>
        </w:tc>
        <w:tc>
          <w:tcPr>
            <w:tcW w:w="2127" w:type="dxa"/>
            <w:shd w:val="clear" w:color="auto" w:fill="F2F2F2"/>
            <w:vAlign w:val="center"/>
          </w:tcPr>
          <w:p>
            <w:pPr>
              <w:tabs>
                <w:tab w:val="left" w:pos="0" w:leader="none"/>
              </w:tabs>
              <w:spacing w:lineRule="auto" w:line="240" w:after="0" w:beforeAutospacing="0" w:afterAutospacing="0"/>
              <w:jc w:val="center"/>
              <w:rPr>
                <w:rFonts w:ascii="Times New Roman" w:hAnsi="Times New Roman"/>
                <w:b w:val="1"/>
              </w:rPr>
            </w:pPr>
            <w:r>
              <w:rPr>
                <w:rFonts w:ascii="Times New Roman" w:hAnsi="Times New Roman"/>
                <w:b w:val="1"/>
              </w:rPr>
              <w:t>Технічні характеристики товару, запропонованого Учасником</w:t>
            </w:r>
          </w:p>
        </w:tc>
      </w:tr>
      <w:tr>
        <w:tc>
          <w:tcPr>
            <w:tcW w:w="538" w:type="dxa"/>
          </w:tcPr>
          <w:p>
            <w:pPr>
              <w:pStyle w:val="P14"/>
              <w:numPr>
                <w:ilvl w:val="0"/>
                <w:numId w:val="4"/>
              </w:numPr>
              <w:tabs>
                <w:tab w:val="left" w:pos="0" w:leader="none"/>
              </w:tabs>
              <w:spacing w:lineRule="auto" w:line="240" w:after="0" w:beforeAutospacing="0" w:afterAutospacing="0"/>
              <w:ind w:hanging="260" w:left="318" w:right="-13"/>
              <w:jc w:val="both"/>
              <w:rPr>
                <w:rFonts w:ascii="Times New Roman" w:hAnsi="Times New Roman"/>
              </w:rPr>
            </w:pPr>
          </w:p>
        </w:tc>
        <w:tc>
          <w:tcPr>
            <w:tcW w:w="2228" w:type="dxa"/>
          </w:tcPr>
          <w:p>
            <w:pPr>
              <w:spacing w:lineRule="auto" w:line="240" w:after="0" w:beforeAutospacing="0" w:afterAutospacing="0"/>
              <w:rPr>
                <w:rFonts w:ascii="Times New Roman" w:hAnsi="Times New Roman"/>
              </w:rPr>
            </w:pPr>
            <w:r>
              <w:rPr>
                <w:rFonts w:ascii="Times New Roman" w:hAnsi="Times New Roman"/>
              </w:rPr>
              <w:t>Вакуумна система для видалення відходів</w:t>
            </w:r>
          </w:p>
        </w:tc>
        <w:tc>
          <w:tcPr>
            <w:tcW w:w="826" w:type="dxa"/>
          </w:tcPr>
          <w:p>
            <w:pPr>
              <w:spacing w:lineRule="auto" w:line="240" w:after="0" w:beforeAutospacing="0" w:afterAutospacing="0"/>
              <w:rPr>
                <w:rFonts w:ascii="Times New Roman" w:hAnsi="Times New Roman"/>
              </w:rPr>
            </w:pPr>
            <w:r>
              <w:rPr>
                <w:rFonts w:ascii="Times New Roman" w:hAnsi="Times New Roman"/>
              </w:rPr>
              <w:t>шт</w:t>
            </w:r>
          </w:p>
        </w:tc>
        <w:tc>
          <w:tcPr>
            <w:tcW w:w="993" w:type="dxa"/>
          </w:tcPr>
          <w:p>
            <w:pPr>
              <w:tabs>
                <w:tab w:val="left" w:pos="0" w:leader="none"/>
              </w:tabs>
              <w:spacing w:lineRule="auto" w:line="240" w:after="0" w:beforeAutospacing="0" w:afterAutospacing="0"/>
              <w:jc w:val="both"/>
              <w:rPr>
                <w:rFonts w:ascii="Times New Roman" w:hAnsi="Times New Roman"/>
              </w:rPr>
            </w:pPr>
            <w:r>
              <w:rPr>
                <w:rFonts w:ascii="Times New Roman" w:hAnsi="Times New Roman"/>
              </w:rPr>
              <w:t>1</w:t>
            </w:r>
          </w:p>
        </w:tc>
        <w:tc>
          <w:tcPr>
            <w:tcW w:w="3543" w:type="dxa"/>
          </w:tcPr>
          <w:p>
            <w:pPr>
              <w:tabs>
                <w:tab w:val="left" w:pos="0" w:leader="none"/>
              </w:tabs>
              <w:spacing w:lineRule="auto" w:line="240" w:after="0" w:beforeAutospacing="0" w:afterAutospacing="0"/>
              <w:rPr>
                <w:rFonts w:ascii="Times New Roman" w:hAnsi="Times New Roman"/>
              </w:rPr>
            </w:pPr>
            <w:r>
              <w:rPr>
                <w:rFonts w:ascii="Times New Roman" w:hAnsi="Times New Roman"/>
              </w:rPr>
              <w:t>Пристрій призначений для видалення відходів рідин та реагентів в лабораторних умовах.</w:t>
            </w:r>
          </w:p>
          <w:p>
            <w:pPr>
              <w:tabs>
                <w:tab w:val="left" w:pos="0" w:leader="none"/>
              </w:tabs>
              <w:spacing w:lineRule="auto" w:line="240" w:after="0" w:beforeAutospacing="0" w:afterAutospacing="0"/>
              <w:rPr>
                <w:rFonts w:ascii="Times New Roman" w:hAnsi="Times New Roman"/>
              </w:rPr>
            </w:pPr>
            <w:r>
              <w:rPr>
                <w:rFonts w:ascii="Times New Roman" w:hAnsi="Times New Roman"/>
              </w:rPr>
              <w:t>Склад:</w:t>
            </w:r>
          </w:p>
          <w:p>
            <w:pPr>
              <w:tabs>
                <w:tab w:val="left" w:pos="0" w:leader="none"/>
              </w:tabs>
              <w:spacing w:lineRule="auto" w:line="240" w:after="0" w:beforeAutospacing="0" w:afterAutospacing="0"/>
              <w:rPr>
                <w:rFonts w:ascii="Times New Roman" w:hAnsi="Times New Roman"/>
              </w:rPr>
            </w:pPr>
            <w:r>
              <w:rPr>
                <w:rFonts w:ascii="Times New Roman" w:hAnsi="Times New Roman"/>
              </w:rPr>
              <w:t>1. Вакуумний безмастильний насос - 1 шт</w:t>
            </w:r>
          </w:p>
          <w:p>
            <w:pPr>
              <w:tabs>
                <w:tab w:val="left" w:pos="0" w:leader="none"/>
              </w:tabs>
              <w:spacing w:lineRule="auto" w:line="240" w:after="0" w:beforeAutospacing="0" w:afterAutospacing="0"/>
              <w:rPr>
                <w:rFonts w:ascii="Times New Roman" w:hAnsi="Times New Roman"/>
              </w:rPr>
            </w:pPr>
            <w:r>
              <w:rPr>
                <w:rFonts w:ascii="Times New Roman" w:hAnsi="Times New Roman"/>
              </w:rPr>
              <w:t>Потужність, не більше: 80 Вт</w:t>
            </w:r>
          </w:p>
          <w:p>
            <w:pPr>
              <w:tabs>
                <w:tab w:val="left" w:pos="0" w:leader="none"/>
              </w:tabs>
              <w:spacing w:lineRule="auto" w:line="240" w:after="0" w:beforeAutospacing="0" w:afterAutospacing="0"/>
              <w:rPr>
                <w:rFonts w:ascii="Times New Roman" w:hAnsi="Times New Roman"/>
              </w:rPr>
            </w:pPr>
            <w:r>
              <w:rPr>
                <w:rFonts w:ascii="Times New Roman" w:hAnsi="Times New Roman"/>
              </w:rPr>
              <w:t>Вакуум: 25 мбар</w:t>
            </w:r>
          </w:p>
          <w:p>
            <w:pPr>
              <w:tabs>
                <w:tab w:val="left" w:pos="0" w:leader="none"/>
              </w:tabs>
              <w:spacing w:lineRule="auto" w:line="240" w:after="0" w:beforeAutospacing="0" w:afterAutospacing="0"/>
              <w:rPr>
                <w:rFonts w:ascii="Times New Roman" w:hAnsi="Times New Roman"/>
              </w:rPr>
            </w:pPr>
            <w:r>
              <w:rPr>
                <w:rFonts w:ascii="Times New Roman" w:hAnsi="Times New Roman"/>
              </w:rPr>
              <w:t>Швидкість потоку, не менше: 20 л/хв</w:t>
            </w:r>
          </w:p>
          <w:p>
            <w:pPr>
              <w:tabs>
                <w:tab w:val="left" w:pos="0" w:leader="none"/>
              </w:tabs>
              <w:spacing w:lineRule="auto" w:line="240" w:after="0" w:beforeAutospacing="0" w:afterAutospacing="0"/>
              <w:rPr>
                <w:rFonts w:ascii="Times New Roman" w:hAnsi="Times New Roman"/>
              </w:rPr>
            </w:pPr>
            <w:r>
              <w:rPr>
                <w:rFonts w:ascii="Times New Roman" w:hAnsi="Times New Roman"/>
              </w:rPr>
              <w:t>Швидкість відсмоктування, не менше: 19 мл/сек</w:t>
            </w:r>
          </w:p>
          <w:p>
            <w:pPr>
              <w:tabs>
                <w:tab w:val="left" w:pos="0" w:leader="none"/>
              </w:tabs>
              <w:spacing w:lineRule="auto" w:line="240" w:after="0" w:beforeAutospacing="0" w:afterAutospacing="0"/>
              <w:rPr>
                <w:rFonts w:ascii="Times New Roman" w:hAnsi="Times New Roman"/>
              </w:rPr>
            </w:pPr>
            <w:r>
              <w:rPr>
                <w:rFonts w:ascii="Times New Roman" w:hAnsi="Times New Roman"/>
              </w:rPr>
              <w:t>Рівень шуму, не більше: 50 дБ</w:t>
            </w:r>
          </w:p>
          <w:p>
            <w:pPr>
              <w:tabs>
                <w:tab w:val="left" w:pos="0" w:leader="none"/>
              </w:tabs>
              <w:spacing w:lineRule="auto" w:line="240" w:after="0" w:beforeAutospacing="0" w:afterAutospacing="0"/>
              <w:rPr>
                <w:rFonts w:ascii="Times New Roman" w:hAnsi="Times New Roman"/>
              </w:rPr>
            </w:pPr>
            <w:r>
              <w:rPr>
                <w:rFonts w:ascii="Times New Roman" w:hAnsi="Times New Roman"/>
              </w:rPr>
              <w:t>2. Вакуумний контейнер - 1 шт</w:t>
            </w:r>
          </w:p>
          <w:p>
            <w:pPr>
              <w:tabs>
                <w:tab w:val="left" w:pos="0" w:leader="none"/>
              </w:tabs>
              <w:spacing w:lineRule="auto" w:line="240" w:after="0" w:beforeAutospacing="0" w:afterAutospacing="0"/>
              <w:rPr>
                <w:rFonts w:ascii="Times New Roman" w:hAnsi="Times New Roman"/>
              </w:rPr>
            </w:pPr>
            <w:r>
              <w:rPr>
                <w:rFonts w:ascii="Times New Roman" w:hAnsi="Times New Roman"/>
              </w:rPr>
              <w:t>Матеріал: поліефірсульфон</w:t>
            </w:r>
          </w:p>
          <w:p>
            <w:pPr>
              <w:tabs>
                <w:tab w:val="left" w:pos="0" w:leader="none"/>
              </w:tabs>
              <w:spacing w:lineRule="auto" w:line="240" w:after="0" w:beforeAutospacing="0" w:afterAutospacing="0"/>
              <w:rPr>
                <w:rFonts w:ascii="Times New Roman" w:hAnsi="Times New Roman"/>
              </w:rPr>
            </w:pPr>
            <w:r>
              <w:rPr>
                <w:rFonts w:ascii="Times New Roman" w:hAnsi="Times New Roman"/>
              </w:rPr>
              <w:t>Об’єм: 1200 мл</w:t>
            </w:r>
          </w:p>
          <w:p>
            <w:pPr>
              <w:tabs>
                <w:tab w:val="left" w:pos="0" w:leader="none"/>
              </w:tabs>
              <w:spacing w:lineRule="auto" w:line="240" w:after="0" w:beforeAutospacing="0" w:afterAutospacing="0"/>
              <w:rPr>
                <w:rFonts w:ascii="Times New Roman" w:hAnsi="Times New Roman"/>
              </w:rPr>
            </w:pPr>
            <w:r>
              <w:rPr>
                <w:rFonts w:ascii="Times New Roman" w:hAnsi="Times New Roman"/>
              </w:rPr>
              <w:t>Запобіжник від переповнення: так</w:t>
            </w:r>
          </w:p>
          <w:p>
            <w:pPr>
              <w:tabs>
                <w:tab w:val="left" w:pos="0" w:leader="none"/>
              </w:tabs>
              <w:spacing w:lineRule="auto" w:line="240" w:after="0" w:beforeAutospacing="0" w:afterAutospacing="0"/>
              <w:rPr>
                <w:rFonts w:ascii="Times New Roman" w:hAnsi="Times New Roman"/>
              </w:rPr>
            </w:pPr>
            <w:r>
              <w:rPr>
                <w:rFonts w:ascii="Times New Roman" w:hAnsi="Times New Roman"/>
              </w:rPr>
              <w:t>3. Комплект для відсмоктування у складі:</w:t>
            </w:r>
          </w:p>
          <w:p>
            <w:pPr>
              <w:tabs>
                <w:tab w:val="left" w:pos="0" w:leader="none"/>
              </w:tabs>
              <w:spacing w:lineRule="auto" w:line="240" w:after="0" w:beforeAutospacing="0" w:afterAutospacing="0"/>
              <w:rPr>
                <w:rFonts w:ascii="Times New Roman" w:hAnsi="Times New Roman"/>
              </w:rPr>
            </w:pPr>
            <w:r>
              <w:rPr>
                <w:rFonts w:ascii="Times New Roman" w:hAnsi="Times New Roman"/>
              </w:rPr>
              <w:t>- рукоятка - 1 шт</w:t>
            </w:r>
          </w:p>
          <w:p>
            <w:pPr>
              <w:tabs>
                <w:tab w:val="left" w:pos="0" w:leader="none"/>
              </w:tabs>
              <w:spacing w:lineRule="auto" w:line="240" w:after="0" w:beforeAutospacing="0" w:afterAutospacing="0"/>
              <w:rPr>
                <w:rFonts w:ascii="Times New Roman" w:hAnsi="Times New Roman"/>
              </w:rPr>
            </w:pPr>
            <w:r>
              <w:rPr>
                <w:rFonts w:ascii="Times New Roman" w:hAnsi="Times New Roman"/>
              </w:rPr>
              <w:t>- насадка 1-кан 50 мм - 1 шт</w:t>
            </w:r>
          </w:p>
          <w:p>
            <w:pPr>
              <w:tabs>
                <w:tab w:val="left" w:pos="0" w:leader="none"/>
              </w:tabs>
              <w:spacing w:lineRule="auto" w:line="240" w:after="0" w:beforeAutospacing="0" w:afterAutospacing="0"/>
              <w:rPr>
                <w:rFonts w:ascii="Times New Roman" w:hAnsi="Times New Roman"/>
              </w:rPr>
            </w:pPr>
            <w:r>
              <w:rPr>
                <w:rFonts w:ascii="Times New Roman" w:hAnsi="Times New Roman"/>
              </w:rPr>
              <w:t>- насадка 1-кан 150 мм - 1 шт</w:t>
            </w:r>
          </w:p>
          <w:p>
            <w:pPr>
              <w:tabs>
                <w:tab w:val="left" w:pos="0" w:leader="none"/>
              </w:tabs>
              <w:spacing w:lineRule="auto" w:line="240" w:after="0" w:beforeAutospacing="0" w:afterAutospacing="0"/>
              <w:rPr>
                <w:rFonts w:ascii="Times New Roman" w:hAnsi="Times New Roman"/>
              </w:rPr>
            </w:pPr>
            <w:r>
              <w:rPr>
                <w:rFonts w:ascii="Times New Roman" w:hAnsi="Times New Roman"/>
              </w:rPr>
              <w:t>- насадка 1-кан нерж 40 мм - 1 шт</w:t>
            </w:r>
          </w:p>
          <w:p>
            <w:pPr>
              <w:tabs>
                <w:tab w:val="left" w:pos="0" w:leader="none"/>
              </w:tabs>
              <w:spacing w:lineRule="auto" w:line="240" w:after="0" w:beforeAutospacing="0" w:afterAutospacing="0"/>
              <w:rPr>
                <w:rFonts w:ascii="Times New Roman" w:hAnsi="Times New Roman"/>
              </w:rPr>
            </w:pPr>
            <w:r>
              <w:rPr>
                <w:rFonts w:ascii="Times New Roman" w:hAnsi="Times New Roman"/>
              </w:rPr>
              <w:t>- насадка 1-кан нерж 80 мм - 1 шт</w:t>
            </w:r>
          </w:p>
          <w:p>
            <w:pPr>
              <w:tabs>
                <w:tab w:val="left" w:pos="0" w:leader="none"/>
              </w:tabs>
              <w:spacing w:lineRule="auto" w:line="240" w:after="0" w:beforeAutospacing="0" w:afterAutospacing="0"/>
              <w:rPr>
                <w:rFonts w:ascii="Times New Roman" w:hAnsi="Times New Roman"/>
              </w:rPr>
            </w:pPr>
            <w:r>
              <w:rPr>
                <w:rFonts w:ascii="Times New Roman" w:hAnsi="Times New Roman"/>
              </w:rPr>
              <w:t>- насадка 8-кан нерж 40 мм - 1 шт</w:t>
            </w:r>
          </w:p>
          <w:p>
            <w:pPr>
              <w:tabs>
                <w:tab w:val="left" w:pos="0" w:leader="none"/>
              </w:tabs>
              <w:spacing w:lineRule="auto" w:line="240" w:after="0" w:beforeAutospacing="0" w:afterAutospacing="0"/>
              <w:rPr>
                <w:rFonts w:ascii="Times New Roman" w:hAnsi="Times New Roman"/>
              </w:rPr>
            </w:pPr>
            <w:r>
              <w:rPr>
                <w:rFonts w:ascii="Times New Roman" w:hAnsi="Times New Roman"/>
              </w:rPr>
              <w:t>- насадка 1-кан з виштовхувачем одноразових наконечників - 1 шт</w:t>
            </w:r>
          </w:p>
          <w:p>
            <w:pPr>
              <w:tabs>
                <w:tab w:val="left" w:pos="0" w:leader="none"/>
              </w:tabs>
              <w:spacing w:lineRule="auto" w:line="240" w:after="0" w:beforeAutospacing="0" w:afterAutospacing="0"/>
              <w:rPr>
                <w:rFonts w:ascii="Times New Roman" w:hAnsi="Times New Roman"/>
              </w:rPr>
            </w:pPr>
            <w:r>
              <w:rPr>
                <w:rFonts w:ascii="Times New Roman" w:hAnsi="Times New Roman"/>
              </w:rPr>
              <w:t>- насадка 8-кан з виштовхувачем одноразових наконечників - 1 шт</w:t>
            </w:r>
          </w:p>
          <w:p>
            <w:pPr>
              <w:tabs>
                <w:tab w:val="left" w:pos="0" w:leader="none"/>
              </w:tabs>
              <w:spacing w:lineRule="auto" w:line="240" w:after="0" w:beforeAutospacing="0" w:afterAutospacing="0"/>
              <w:rPr>
                <w:rFonts w:ascii="Times New Roman" w:hAnsi="Times New Roman"/>
              </w:rPr>
            </w:pPr>
            <w:r>
              <w:rPr>
                <w:rFonts w:ascii="Times New Roman" w:hAnsi="Times New Roman"/>
              </w:rPr>
              <w:t>- штатив - 1 шт</w:t>
            </w:r>
          </w:p>
          <w:p>
            <w:pPr>
              <w:tabs>
                <w:tab w:val="left" w:pos="0" w:leader="none"/>
              </w:tabs>
              <w:spacing w:lineRule="auto" w:line="240" w:after="0" w:beforeAutospacing="0" w:afterAutospacing="0"/>
              <w:rPr>
                <w:rFonts w:ascii="Times New Roman" w:hAnsi="Times New Roman"/>
              </w:rPr>
            </w:pPr>
            <w:r>
              <w:rPr>
                <w:rFonts w:ascii="Times New Roman" w:hAnsi="Times New Roman"/>
              </w:rPr>
              <w:t>4. Силіконовий шланг - 1 шт</w:t>
            </w:r>
          </w:p>
          <w:p>
            <w:pPr>
              <w:tabs>
                <w:tab w:val="left" w:pos="0" w:leader="none"/>
              </w:tabs>
              <w:spacing w:lineRule="auto" w:line="240" w:after="0" w:beforeAutospacing="0" w:afterAutospacing="0"/>
              <w:rPr>
                <w:rFonts w:ascii="Times New Roman" w:hAnsi="Times New Roman"/>
              </w:rPr>
            </w:pPr>
            <w:r>
              <w:rPr>
                <w:rFonts w:ascii="Times New Roman" w:hAnsi="Times New Roman"/>
              </w:rPr>
              <w:t>5. Кабель живлення</w:t>
            </w:r>
          </w:p>
          <w:p>
            <w:pPr>
              <w:tabs>
                <w:tab w:val="left" w:pos="0" w:leader="none"/>
              </w:tabs>
              <w:spacing w:lineRule="auto" w:line="240" w:after="0" w:beforeAutospacing="0" w:afterAutospacing="0"/>
              <w:rPr>
                <w:rFonts w:ascii="Times New Roman" w:hAnsi="Times New Roman"/>
              </w:rPr>
            </w:pPr>
            <w:r>
              <w:rPr>
                <w:rFonts w:ascii="Times New Roman" w:hAnsi="Times New Roman"/>
              </w:rPr>
              <w:t>Паспорт/Інструкція з використання, декларація відповідності, сертифікат відповідності, гарантійний лист виробника.</w:t>
            </w:r>
          </w:p>
        </w:tc>
        <w:tc>
          <w:tcPr>
            <w:tcW w:w="2127" w:type="dxa"/>
          </w:tcPr>
          <w:p>
            <w:pPr>
              <w:spacing w:lineRule="auto" w:line="240" w:after="0" w:beforeAutospacing="0" w:afterAutospacing="0"/>
              <w:rPr>
                <w:rFonts w:ascii="Times New Roman" w:hAnsi="Times New Roman"/>
              </w:rPr>
            </w:pPr>
          </w:p>
        </w:tc>
      </w:tr>
      <w:tr>
        <w:tc>
          <w:tcPr>
            <w:tcW w:w="538" w:type="dxa"/>
          </w:tcPr>
          <w:p>
            <w:pPr>
              <w:pStyle w:val="P14"/>
              <w:numPr>
                <w:ilvl w:val="0"/>
                <w:numId w:val="4"/>
              </w:numPr>
              <w:tabs>
                <w:tab w:val="left" w:pos="0" w:leader="none"/>
              </w:tabs>
              <w:spacing w:lineRule="auto" w:line="240" w:after="0" w:beforeAutospacing="0" w:afterAutospacing="0"/>
              <w:ind w:hanging="260" w:left="318" w:right="-13"/>
              <w:jc w:val="both"/>
              <w:rPr>
                <w:rFonts w:ascii="Times New Roman" w:hAnsi="Times New Roman"/>
              </w:rPr>
            </w:pPr>
          </w:p>
        </w:tc>
        <w:tc>
          <w:tcPr>
            <w:tcW w:w="2228" w:type="dxa"/>
          </w:tcPr>
          <w:p>
            <w:pPr>
              <w:spacing w:lineRule="auto" w:line="240" w:after="0" w:beforeAutospacing="0" w:afterAutospacing="0"/>
              <w:rPr>
                <w:rFonts w:ascii="Times New Roman" w:hAnsi="Times New Roman"/>
              </w:rPr>
            </w:pPr>
            <w:r>
              <w:rPr>
                <w:rFonts w:ascii="Times New Roman" w:hAnsi="Times New Roman"/>
              </w:rPr>
              <w:t>Бідистилятор</w:t>
            </w:r>
          </w:p>
        </w:tc>
        <w:tc>
          <w:tcPr>
            <w:tcW w:w="826" w:type="dxa"/>
          </w:tcPr>
          <w:p>
            <w:pPr>
              <w:spacing w:lineRule="auto" w:line="240" w:after="0" w:beforeAutospacing="0" w:afterAutospacing="0"/>
              <w:rPr>
                <w:rFonts w:ascii="Times New Roman" w:hAnsi="Times New Roman"/>
              </w:rPr>
            </w:pPr>
            <w:r>
              <w:rPr>
                <w:rFonts w:ascii="Times New Roman" w:hAnsi="Times New Roman"/>
              </w:rPr>
              <w:t>шт</w:t>
            </w:r>
          </w:p>
        </w:tc>
        <w:tc>
          <w:tcPr>
            <w:tcW w:w="993" w:type="dxa"/>
          </w:tcPr>
          <w:p>
            <w:pPr>
              <w:tabs>
                <w:tab w:val="left" w:pos="0" w:leader="none"/>
              </w:tabs>
              <w:spacing w:lineRule="auto" w:line="240" w:after="0" w:beforeAutospacing="0" w:afterAutospacing="0"/>
              <w:jc w:val="both"/>
              <w:rPr>
                <w:rFonts w:ascii="Times New Roman" w:hAnsi="Times New Roman"/>
              </w:rPr>
            </w:pPr>
            <w:r>
              <w:rPr>
                <w:rFonts w:ascii="Times New Roman" w:hAnsi="Times New Roman"/>
              </w:rPr>
              <w:t>1</w:t>
            </w:r>
          </w:p>
        </w:tc>
        <w:tc>
          <w:tcPr>
            <w:tcW w:w="3543" w:type="dxa"/>
          </w:tcPr>
          <w:p>
            <w:pPr>
              <w:spacing w:lineRule="auto" w:line="240" w:after="0" w:beforeAutospacing="0" w:afterAutospacing="0"/>
              <w:rPr>
                <w:rFonts w:ascii="Times New Roman" w:hAnsi="Times New Roman"/>
              </w:rPr>
            </w:pPr>
            <w:r>
              <w:rPr>
                <w:rFonts w:ascii="Times New Roman" w:hAnsi="Times New Roman"/>
              </w:rPr>
              <w:t>Пристрій призначений для подвійної дистиляції води.</w:t>
            </w:r>
          </w:p>
          <w:p>
            <w:pPr>
              <w:spacing w:lineRule="auto" w:line="240" w:after="0" w:beforeAutospacing="0" w:afterAutospacing="0"/>
              <w:rPr>
                <w:rFonts w:ascii="Times New Roman" w:hAnsi="Times New Roman"/>
              </w:rPr>
            </w:pPr>
            <w:r>
              <w:rPr>
                <w:rFonts w:ascii="Times New Roman" w:hAnsi="Times New Roman"/>
              </w:rPr>
              <w:t>Режим роботи: автоматичний</w:t>
            </w:r>
          </w:p>
          <w:p>
            <w:pPr>
              <w:spacing w:lineRule="auto" w:line="240" w:after="0" w:beforeAutospacing="0" w:afterAutospacing="0"/>
              <w:rPr>
                <w:rFonts w:ascii="Times New Roman" w:hAnsi="Times New Roman"/>
              </w:rPr>
            </w:pPr>
            <w:r>
              <w:rPr>
                <w:rFonts w:ascii="Times New Roman" w:hAnsi="Times New Roman"/>
              </w:rPr>
              <w:t>Конденсатор первинного перегону: неіржавіюча сталь</w:t>
            </w:r>
          </w:p>
          <w:p>
            <w:pPr>
              <w:spacing w:lineRule="auto" w:line="240" w:after="0" w:beforeAutospacing="0" w:afterAutospacing="0"/>
              <w:rPr>
                <w:rFonts w:ascii="Times New Roman" w:hAnsi="Times New Roman"/>
              </w:rPr>
            </w:pPr>
            <w:r>
              <w:rPr>
                <w:rFonts w:ascii="Times New Roman" w:hAnsi="Times New Roman"/>
              </w:rPr>
              <w:t>Конденсатор вторинного перегону: боросилікатне скло</w:t>
            </w:r>
          </w:p>
          <w:p>
            <w:pPr>
              <w:spacing w:lineRule="auto" w:line="240" w:after="0" w:beforeAutospacing="0" w:afterAutospacing="0"/>
              <w:rPr>
                <w:rFonts w:ascii="Times New Roman" w:hAnsi="Times New Roman"/>
              </w:rPr>
            </w:pPr>
            <w:r>
              <w:rPr>
                <w:rFonts w:ascii="Times New Roman" w:hAnsi="Times New Roman"/>
              </w:rPr>
              <w:t>Регулювання подачі води: електромагнітний клапан</w:t>
            </w:r>
          </w:p>
          <w:p>
            <w:pPr>
              <w:spacing w:lineRule="auto" w:line="240" w:after="0" w:beforeAutospacing="0" w:afterAutospacing="0"/>
              <w:rPr>
                <w:rFonts w:ascii="Times New Roman" w:hAnsi="Times New Roman"/>
              </w:rPr>
            </w:pPr>
            <w:r>
              <w:rPr>
                <w:rFonts w:ascii="Times New Roman" w:hAnsi="Times New Roman"/>
              </w:rPr>
              <w:t>Відключення води: автоматичне</w:t>
            </w:r>
          </w:p>
          <w:p>
            <w:pPr>
              <w:spacing w:lineRule="auto" w:line="240" w:after="0" w:beforeAutospacing="0" w:afterAutospacing="0"/>
              <w:rPr>
                <w:rFonts w:ascii="Times New Roman" w:hAnsi="Times New Roman"/>
              </w:rPr>
            </w:pPr>
            <w:r>
              <w:rPr>
                <w:rFonts w:ascii="Times New Roman" w:hAnsi="Times New Roman"/>
              </w:rPr>
              <w:t>Контроль забруднення: наявність, автоматичне відключення</w:t>
            </w:r>
          </w:p>
          <w:p>
            <w:pPr>
              <w:spacing w:lineRule="auto" w:line="240" w:after="0" w:beforeAutospacing="0" w:afterAutospacing="0"/>
              <w:rPr>
                <w:rFonts w:ascii="Times New Roman" w:hAnsi="Times New Roman"/>
              </w:rPr>
            </w:pPr>
            <w:r>
              <w:rPr>
                <w:rFonts w:ascii="Times New Roman" w:hAnsi="Times New Roman"/>
              </w:rPr>
              <w:t>Контроль рівня: наявність, поплавковий вимикач</w:t>
            </w:r>
          </w:p>
          <w:p>
            <w:pPr>
              <w:spacing w:lineRule="auto" w:line="240" w:after="0" w:beforeAutospacing="0" w:afterAutospacing="0"/>
              <w:rPr>
                <w:rFonts w:ascii="Times New Roman" w:hAnsi="Times New Roman"/>
              </w:rPr>
            </w:pPr>
            <w:r>
              <w:rPr>
                <w:rFonts w:ascii="Times New Roman" w:hAnsi="Times New Roman"/>
              </w:rPr>
              <w:t>Нагрівач: нержавіюча сталь</w:t>
            </w:r>
          </w:p>
          <w:p>
            <w:pPr>
              <w:spacing w:lineRule="auto" w:line="240" w:after="0" w:beforeAutospacing="0" w:afterAutospacing="0"/>
              <w:rPr>
                <w:rFonts w:ascii="Times New Roman" w:hAnsi="Times New Roman"/>
              </w:rPr>
            </w:pPr>
            <w:r>
              <w:rPr>
                <w:rFonts w:ascii="Times New Roman" w:hAnsi="Times New Roman"/>
              </w:rPr>
              <w:t>Технічні характеристики:</w:t>
            </w:r>
          </w:p>
          <w:p>
            <w:pPr>
              <w:spacing w:lineRule="auto" w:line="240" w:after="0" w:beforeAutospacing="0" w:afterAutospacing="0"/>
              <w:rPr>
                <w:rFonts w:ascii="Times New Roman" w:hAnsi="Times New Roman"/>
              </w:rPr>
            </w:pPr>
            <w:r>
              <w:rPr>
                <w:rFonts w:ascii="Times New Roman" w:hAnsi="Times New Roman"/>
              </w:rPr>
              <w:t>Електропровідність вторинного дистиляту: 1,6 мкСм/см</w:t>
            </w:r>
          </w:p>
          <w:p>
            <w:pPr>
              <w:spacing w:lineRule="auto" w:line="240" w:after="0" w:beforeAutospacing="0" w:afterAutospacing="0"/>
              <w:rPr>
                <w:rFonts w:ascii="Times New Roman" w:hAnsi="Times New Roman"/>
              </w:rPr>
            </w:pPr>
            <w:r>
              <w:rPr>
                <w:rFonts w:ascii="Times New Roman" w:hAnsi="Times New Roman"/>
              </w:rPr>
              <w:t>Продуктивність, не менше: 2 л/год</w:t>
            </w:r>
          </w:p>
          <w:p>
            <w:pPr>
              <w:spacing w:lineRule="auto" w:line="240" w:after="0" w:beforeAutospacing="0" w:afterAutospacing="0"/>
              <w:rPr>
                <w:rFonts w:ascii="Times New Roman" w:hAnsi="Times New Roman"/>
              </w:rPr>
            </w:pPr>
            <w:r>
              <w:rPr>
                <w:rFonts w:ascii="Times New Roman" w:hAnsi="Times New Roman"/>
              </w:rPr>
              <w:t xml:space="preserve">Швидкість потоку охолоджуючого контуру, не менше:  1,2 л/хв</w:t>
            </w:r>
          </w:p>
          <w:p>
            <w:pPr>
              <w:spacing w:lineRule="auto" w:line="240" w:after="0" w:beforeAutospacing="0" w:afterAutospacing="0"/>
              <w:rPr>
                <w:rFonts w:ascii="Times New Roman" w:hAnsi="Times New Roman"/>
              </w:rPr>
            </w:pPr>
            <w:r>
              <w:rPr>
                <w:rFonts w:ascii="Times New Roman" w:hAnsi="Times New Roman"/>
              </w:rPr>
              <w:t>Макс.тиск охолоджуючого контуру, не менше: 7 бар</w:t>
            </w:r>
          </w:p>
          <w:p>
            <w:pPr>
              <w:spacing w:lineRule="auto" w:line="240" w:after="0" w:beforeAutospacing="0" w:afterAutospacing="0"/>
              <w:rPr>
                <w:rFonts w:ascii="Times New Roman" w:hAnsi="Times New Roman"/>
              </w:rPr>
            </w:pPr>
            <w:r>
              <w:rPr>
                <w:rFonts w:ascii="Times New Roman" w:hAnsi="Times New Roman"/>
              </w:rPr>
              <w:t>Діаметр штуцеру охолоджуючого контуру: ½ дюйма</w:t>
            </w:r>
          </w:p>
          <w:p>
            <w:pPr>
              <w:spacing w:lineRule="auto" w:line="240" w:after="0" w:beforeAutospacing="0" w:afterAutospacing="0"/>
              <w:rPr>
                <w:rFonts w:ascii="Times New Roman" w:hAnsi="Times New Roman"/>
              </w:rPr>
            </w:pPr>
            <w:r>
              <w:rPr>
                <w:rFonts w:ascii="Times New Roman" w:hAnsi="Times New Roman"/>
              </w:rPr>
              <w:t>Споживча потужність, не більше: 3,5 кВт</w:t>
            </w:r>
          </w:p>
          <w:p>
            <w:pPr>
              <w:spacing w:lineRule="auto" w:line="240" w:after="0" w:beforeAutospacing="0" w:afterAutospacing="0"/>
              <w:rPr>
                <w:rFonts w:ascii="Times New Roman" w:hAnsi="Times New Roman"/>
              </w:rPr>
            </w:pPr>
            <w:r>
              <w:rPr>
                <w:rFonts w:ascii="Times New Roman" w:hAnsi="Times New Roman"/>
              </w:rPr>
              <w:t>Габарити, не більше: 50х260х470 мм</w:t>
            </w:r>
          </w:p>
          <w:p>
            <w:pPr>
              <w:spacing w:lineRule="auto" w:line="240" w:after="0" w:beforeAutospacing="0" w:afterAutospacing="0"/>
              <w:rPr>
                <w:rFonts w:ascii="Times New Roman" w:hAnsi="Times New Roman"/>
              </w:rPr>
            </w:pPr>
            <w:r>
              <w:rPr>
                <w:rFonts w:ascii="Times New Roman" w:hAnsi="Times New Roman"/>
              </w:rPr>
              <w:t>Вага, не більше: 22 кг</w:t>
            </w:r>
          </w:p>
          <w:p>
            <w:pPr>
              <w:spacing w:lineRule="auto" w:line="240" w:after="0" w:beforeAutospacing="0" w:afterAutospacing="0"/>
              <w:rPr>
                <w:rFonts w:ascii="Times New Roman" w:hAnsi="Times New Roman"/>
              </w:rPr>
            </w:pPr>
            <w:r>
              <w:rPr>
                <w:rFonts w:ascii="Times New Roman" w:hAnsi="Times New Roman"/>
              </w:rPr>
              <w:t xml:space="preserve">Комплектація: </w:t>
            </w:r>
          </w:p>
          <w:p>
            <w:pPr>
              <w:spacing w:lineRule="auto" w:line="240" w:after="0" w:beforeAutospacing="0" w:afterAutospacing="0"/>
              <w:rPr>
                <w:rFonts w:ascii="Times New Roman" w:hAnsi="Times New Roman"/>
              </w:rPr>
            </w:pPr>
            <w:r>
              <w:rPr>
                <w:rFonts w:ascii="Times New Roman" w:hAnsi="Times New Roman"/>
              </w:rPr>
              <w:t>- пристрій 1 шт</w:t>
            </w:r>
          </w:p>
          <w:p>
            <w:pPr>
              <w:spacing w:lineRule="auto" w:line="240" w:after="0" w:beforeAutospacing="0" w:afterAutospacing="0"/>
              <w:rPr>
                <w:rFonts w:ascii="Times New Roman" w:hAnsi="Times New Roman"/>
              </w:rPr>
            </w:pPr>
            <w:r>
              <w:rPr>
                <w:rFonts w:ascii="Times New Roman" w:hAnsi="Times New Roman"/>
              </w:rPr>
              <w:t>- кабель живлення з кутовою вилкою.</w:t>
            </w:r>
          </w:p>
          <w:p>
            <w:pPr>
              <w:spacing w:lineRule="auto" w:line="240" w:after="0" w:beforeAutospacing="0" w:afterAutospacing="0"/>
              <w:rPr>
                <w:rFonts w:ascii="Times New Roman" w:hAnsi="Times New Roman"/>
              </w:rPr>
            </w:pPr>
            <w:r>
              <w:rPr>
                <w:rFonts w:ascii="Times New Roman" w:hAnsi="Times New Roman"/>
              </w:rPr>
              <w:t>Паспорт/технічна специфікація.</w:t>
            </w:r>
          </w:p>
        </w:tc>
        <w:tc>
          <w:tcPr>
            <w:tcW w:w="2127" w:type="dxa"/>
          </w:tcPr>
          <w:p>
            <w:pPr>
              <w:spacing w:lineRule="auto" w:line="240" w:after="0" w:beforeAutospacing="0" w:afterAutospacing="0"/>
              <w:rPr>
                <w:rFonts w:ascii="Times New Roman" w:hAnsi="Times New Roman"/>
              </w:rPr>
            </w:pPr>
          </w:p>
        </w:tc>
      </w:tr>
      <w:tr>
        <w:tc>
          <w:tcPr>
            <w:tcW w:w="538" w:type="dxa"/>
          </w:tcPr>
          <w:p>
            <w:pPr>
              <w:pStyle w:val="P14"/>
              <w:numPr>
                <w:ilvl w:val="0"/>
                <w:numId w:val="4"/>
              </w:numPr>
              <w:tabs>
                <w:tab w:val="left" w:pos="0" w:leader="none"/>
              </w:tabs>
              <w:spacing w:lineRule="auto" w:line="240" w:after="0" w:beforeAutospacing="0" w:afterAutospacing="0"/>
              <w:ind w:hanging="260" w:left="318" w:right="-13"/>
              <w:jc w:val="both"/>
              <w:rPr>
                <w:rFonts w:ascii="Times New Roman" w:hAnsi="Times New Roman"/>
              </w:rPr>
            </w:pPr>
          </w:p>
        </w:tc>
        <w:tc>
          <w:tcPr>
            <w:tcW w:w="2228" w:type="dxa"/>
          </w:tcPr>
          <w:p>
            <w:pPr>
              <w:spacing w:lineRule="auto" w:line="240" w:after="0" w:beforeAutospacing="0" w:afterAutospacing="0"/>
              <w:rPr>
                <w:rFonts w:ascii="Times New Roman" w:hAnsi="Times New Roman"/>
              </w:rPr>
            </w:pPr>
            <w:r>
              <w:rPr>
                <w:rFonts w:ascii="Times New Roman" w:hAnsi="Times New Roman"/>
              </w:rPr>
              <w:t>Очисник води</w:t>
            </w:r>
          </w:p>
        </w:tc>
        <w:tc>
          <w:tcPr>
            <w:tcW w:w="826" w:type="dxa"/>
          </w:tcPr>
          <w:p>
            <w:pPr>
              <w:spacing w:lineRule="auto" w:line="240" w:after="0" w:beforeAutospacing="0" w:afterAutospacing="0"/>
              <w:rPr>
                <w:rFonts w:ascii="Times New Roman" w:hAnsi="Times New Roman"/>
              </w:rPr>
            </w:pPr>
            <w:r>
              <w:rPr>
                <w:rFonts w:ascii="Times New Roman" w:hAnsi="Times New Roman"/>
              </w:rPr>
              <w:t>шт</w:t>
            </w:r>
          </w:p>
        </w:tc>
        <w:tc>
          <w:tcPr>
            <w:tcW w:w="993" w:type="dxa"/>
          </w:tcPr>
          <w:p>
            <w:pPr>
              <w:tabs>
                <w:tab w:val="left" w:pos="0" w:leader="none"/>
              </w:tabs>
              <w:spacing w:lineRule="auto" w:line="240" w:after="0" w:beforeAutospacing="0" w:afterAutospacing="0"/>
              <w:jc w:val="both"/>
              <w:rPr>
                <w:rFonts w:ascii="Times New Roman" w:hAnsi="Times New Roman"/>
              </w:rPr>
            </w:pPr>
            <w:r>
              <w:rPr>
                <w:rFonts w:ascii="Times New Roman" w:hAnsi="Times New Roman"/>
              </w:rPr>
              <w:t>1</w:t>
            </w:r>
          </w:p>
        </w:tc>
        <w:tc>
          <w:tcPr>
            <w:tcW w:w="3543" w:type="dxa"/>
          </w:tcPr>
          <w:p>
            <w:pPr>
              <w:tabs>
                <w:tab w:val="left" w:pos="0" w:leader="none"/>
              </w:tabs>
              <w:spacing w:lineRule="auto" w:line="240" w:after="0" w:beforeAutospacing="0" w:afterAutospacing="0"/>
              <w:rPr>
                <w:rFonts w:ascii="Times New Roman" w:hAnsi="Times New Roman"/>
              </w:rPr>
            </w:pPr>
            <w:r>
              <w:rPr>
                <w:rFonts w:ascii="Times New Roman" w:hAnsi="Times New Roman"/>
              </w:rPr>
              <w:t>Пристрій призначений для очистки води у відповідності до вимог до вимог Класу 2 згідно ДСТУ ISO 3696.</w:t>
            </w:r>
          </w:p>
          <w:p>
            <w:pPr>
              <w:tabs>
                <w:tab w:val="left" w:pos="0" w:leader="none"/>
              </w:tabs>
              <w:spacing w:lineRule="auto" w:line="240" w:after="0" w:beforeAutospacing="0" w:afterAutospacing="0"/>
              <w:rPr>
                <w:rFonts w:ascii="Times New Roman" w:hAnsi="Times New Roman"/>
              </w:rPr>
            </w:pPr>
            <w:r>
              <w:rPr>
                <w:rFonts w:ascii="Times New Roman" w:hAnsi="Times New Roman"/>
              </w:rPr>
              <w:t>Методи очищення:</w:t>
            </w:r>
          </w:p>
          <w:p>
            <w:pPr>
              <w:tabs>
                <w:tab w:val="left" w:pos="0" w:leader="none"/>
              </w:tabs>
              <w:spacing w:lineRule="auto" w:line="240" w:after="0" w:beforeAutospacing="0" w:afterAutospacing="0"/>
              <w:rPr>
                <w:rFonts w:ascii="Times New Roman" w:hAnsi="Times New Roman"/>
              </w:rPr>
            </w:pPr>
            <w:r>
              <w:rPr>
                <w:rFonts w:ascii="Times New Roman" w:hAnsi="Times New Roman"/>
              </w:rPr>
              <w:t>- вугільна фільтрація</w:t>
            </w:r>
          </w:p>
          <w:p>
            <w:pPr>
              <w:tabs>
                <w:tab w:val="left" w:pos="0" w:leader="none"/>
              </w:tabs>
              <w:spacing w:lineRule="auto" w:line="240" w:after="0" w:beforeAutospacing="0" w:afterAutospacing="0"/>
              <w:rPr>
                <w:rFonts w:ascii="Times New Roman" w:hAnsi="Times New Roman"/>
              </w:rPr>
            </w:pPr>
            <w:r>
              <w:rPr>
                <w:rFonts w:ascii="Times New Roman" w:hAnsi="Times New Roman"/>
              </w:rPr>
              <w:t>- механічна фільтрація</w:t>
            </w:r>
          </w:p>
          <w:p>
            <w:pPr>
              <w:tabs>
                <w:tab w:val="left" w:pos="0" w:leader="none"/>
              </w:tabs>
              <w:spacing w:lineRule="auto" w:line="240" w:after="0" w:beforeAutospacing="0" w:afterAutospacing="0"/>
              <w:rPr>
                <w:rFonts w:ascii="Times New Roman" w:hAnsi="Times New Roman"/>
              </w:rPr>
            </w:pPr>
            <w:r>
              <w:rPr>
                <w:rFonts w:ascii="Times New Roman" w:hAnsi="Times New Roman"/>
              </w:rPr>
              <w:t>- зворотній осмос</w:t>
            </w:r>
          </w:p>
          <w:p>
            <w:pPr>
              <w:tabs>
                <w:tab w:val="left" w:pos="0" w:leader="none"/>
              </w:tabs>
              <w:spacing w:lineRule="auto" w:line="240" w:after="0" w:beforeAutospacing="0" w:afterAutospacing="0"/>
              <w:rPr>
                <w:rFonts w:ascii="Times New Roman" w:hAnsi="Times New Roman"/>
              </w:rPr>
            </w:pPr>
            <w:r>
              <w:rPr>
                <w:rFonts w:ascii="Times New Roman" w:hAnsi="Times New Roman"/>
              </w:rPr>
              <w:t>- деіонізація</w:t>
            </w:r>
          </w:p>
          <w:p>
            <w:pPr>
              <w:tabs>
                <w:tab w:val="left" w:pos="0" w:leader="none"/>
              </w:tabs>
              <w:spacing w:lineRule="auto" w:line="240" w:after="0" w:beforeAutospacing="0" w:afterAutospacing="0"/>
              <w:rPr>
                <w:rFonts w:ascii="Times New Roman" w:hAnsi="Times New Roman"/>
              </w:rPr>
            </w:pPr>
            <w:r>
              <w:rPr>
                <w:rFonts w:ascii="Times New Roman" w:hAnsi="Times New Roman"/>
              </w:rPr>
              <w:t>Показники очищеної води:</w:t>
            </w:r>
          </w:p>
          <w:p>
            <w:pPr>
              <w:tabs>
                <w:tab w:val="left" w:pos="0" w:leader="none"/>
              </w:tabs>
              <w:spacing w:lineRule="auto" w:line="240" w:after="0" w:beforeAutospacing="0" w:afterAutospacing="0"/>
              <w:rPr>
                <w:rFonts w:ascii="Times New Roman" w:hAnsi="Times New Roman"/>
              </w:rPr>
            </w:pPr>
            <w:r>
              <w:rPr>
                <w:rFonts w:ascii="Times New Roman" w:hAnsi="Times New Roman"/>
              </w:rPr>
              <w:t xml:space="preserve">- питомий опір: </w:t>
            </w:r>
            <w:r>
              <w:rPr>
                <w:rStyle w:val="C5"/>
                <w:rFonts w:ascii="Times New Roman" w:hAnsi="Times New Roman"/>
                <w:sz w:val="22"/>
              </w:rPr>
              <w:t xml:space="preserve">&gt; 10 </w:t>
            </w:r>
            <w:r>
              <w:rPr>
                <w:rFonts w:ascii="Times New Roman" w:hAnsi="Times New Roman"/>
              </w:rPr>
              <w:t>МОм/см</w:t>
            </w:r>
          </w:p>
          <w:p>
            <w:pPr>
              <w:tabs>
                <w:tab w:val="left" w:pos="0" w:leader="none"/>
              </w:tabs>
              <w:spacing w:lineRule="auto" w:line="240" w:after="0" w:beforeAutospacing="0" w:afterAutospacing="0"/>
              <w:rPr>
                <w:rStyle w:val="C5"/>
                <w:rFonts w:ascii="Times New Roman" w:hAnsi="Times New Roman"/>
                <w:sz w:val="22"/>
              </w:rPr>
            </w:pPr>
            <w:r>
              <w:rPr>
                <w:rFonts w:ascii="Times New Roman" w:hAnsi="Times New Roman"/>
              </w:rPr>
              <w:t xml:space="preserve">- електропровідність: </w:t>
            </w:r>
            <w:r>
              <w:rPr>
                <w:rStyle w:val="C5"/>
                <w:rFonts w:ascii="Times New Roman" w:hAnsi="Times New Roman"/>
                <w:sz w:val="22"/>
              </w:rPr>
              <w:t>&lt; 0,1 мкC/см</w:t>
            </w:r>
          </w:p>
          <w:p>
            <w:pPr>
              <w:tabs>
                <w:tab w:val="left" w:pos="0" w:leader="none"/>
              </w:tabs>
              <w:spacing w:lineRule="auto" w:line="240" w:after="0" w:beforeAutospacing="0" w:afterAutospacing="0"/>
              <w:rPr>
                <w:rStyle w:val="C5"/>
                <w:rFonts w:ascii="Times New Roman" w:hAnsi="Times New Roman"/>
                <w:sz w:val="22"/>
              </w:rPr>
            </w:pPr>
            <w:r>
              <w:rPr>
                <w:rFonts w:ascii="Times New Roman" w:hAnsi="Times New Roman"/>
              </w:rPr>
              <w:t>Відповідність параметрам вхідної води для очищення, не гірше:</w:t>
              <w:br w:type="textWrapping"/>
              <w:t xml:space="preserve"> 1 – 4 бар на вході в систему.</w:t>
              <w:br w:type="textWrapping"/>
              <w:t>Продуктивність установки, не менше: 10 л/год води очищеної Класу 2.</w:t>
            </w:r>
          </w:p>
          <w:p>
            <w:pPr>
              <w:tabs>
                <w:tab w:val="left" w:pos="0" w:leader="none"/>
              </w:tabs>
              <w:spacing w:lineRule="auto" w:line="240" w:after="0" w:beforeAutospacing="0" w:afterAutospacing="0"/>
              <w:rPr>
                <w:rStyle w:val="C5"/>
                <w:rFonts w:ascii="Times New Roman" w:hAnsi="Times New Roman"/>
                <w:sz w:val="22"/>
              </w:rPr>
            </w:pPr>
            <w:r>
              <w:rPr>
                <w:rStyle w:val="C5"/>
                <w:rFonts w:ascii="Times New Roman" w:hAnsi="Times New Roman"/>
                <w:sz w:val="22"/>
              </w:rPr>
              <w:t>Система контролю з індикацією на дисплеї:</w:t>
            </w:r>
          </w:p>
          <w:p>
            <w:pPr>
              <w:tabs>
                <w:tab w:val="left" w:pos="0" w:leader="none"/>
              </w:tabs>
              <w:spacing w:lineRule="auto" w:line="240" w:after="0" w:beforeAutospacing="0" w:afterAutospacing="0"/>
              <w:rPr>
                <w:rStyle w:val="C5"/>
                <w:rFonts w:ascii="Times New Roman" w:hAnsi="Times New Roman"/>
                <w:sz w:val="22"/>
              </w:rPr>
            </w:pPr>
            <w:r>
              <w:rPr>
                <w:rStyle w:val="C5"/>
                <w:rFonts w:ascii="Times New Roman" w:hAnsi="Times New Roman"/>
                <w:sz w:val="22"/>
              </w:rPr>
              <w:t>- стан системи</w:t>
            </w:r>
          </w:p>
          <w:p>
            <w:pPr>
              <w:tabs>
                <w:tab w:val="left" w:pos="0" w:leader="none"/>
              </w:tabs>
              <w:spacing w:lineRule="auto" w:line="240" w:after="0" w:beforeAutospacing="0" w:afterAutospacing="0"/>
              <w:rPr>
                <w:rStyle w:val="C5"/>
                <w:rFonts w:ascii="Times New Roman" w:hAnsi="Times New Roman"/>
                <w:sz w:val="22"/>
              </w:rPr>
            </w:pPr>
            <w:r>
              <w:rPr>
                <w:rStyle w:val="C5"/>
                <w:rFonts w:ascii="Times New Roman" w:hAnsi="Times New Roman"/>
                <w:sz w:val="22"/>
              </w:rPr>
              <w:t>- помилки</w:t>
            </w:r>
          </w:p>
          <w:p>
            <w:pPr>
              <w:tabs>
                <w:tab w:val="left" w:pos="0" w:leader="none"/>
              </w:tabs>
              <w:spacing w:lineRule="auto" w:line="240" w:after="0" w:beforeAutospacing="0" w:afterAutospacing="0"/>
              <w:rPr>
                <w:rStyle w:val="C5"/>
                <w:rFonts w:ascii="Times New Roman" w:hAnsi="Times New Roman"/>
                <w:sz w:val="22"/>
              </w:rPr>
            </w:pPr>
            <w:r>
              <w:rPr>
                <w:rStyle w:val="C5"/>
                <w:rFonts w:ascii="Times New Roman" w:hAnsi="Times New Roman"/>
                <w:sz w:val="22"/>
              </w:rPr>
              <w:t>- клас води</w:t>
            </w:r>
          </w:p>
          <w:p>
            <w:pPr>
              <w:tabs>
                <w:tab w:val="left" w:pos="0" w:leader="none"/>
              </w:tabs>
              <w:spacing w:lineRule="auto" w:line="240" w:after="0" w:beforeAutospacing="0" w:afterAutospacing="0"/>
              <w:rPr>
                <w:rStyle w:val="C5"/>
                <w:rFonts w:ascii="Times New Roman" w:hAnsi="Times New Roman"/>
                <w:sz w:val="22"/>
              </w:rPr>
            </w:pPr>
            <w:r>
              <w:rPr>
                <w:rStyle w:val="C5"/>
                <w:rFonts w:ascii="Times New Roman" w:hAnsi="Times New Roman"/>
                <w:sz w:val="22"/>
              </w:rPr>
              <w:t>- поточне значення електропровідності або питомого опору (на вибір користувача)</w:t>
            </w:r>
          </w:p>
          <w:p>
            <w:pPr>
              <w:tabs>
                <w:tab w:val="left" w:pos="0" w:leader="none"/>
              </w:tabs>
              <w:spacing w:lineRule="auto" w:line="240" w:after="0" w:beforeAutospacing="0" w:afterAutospacing="0"/>
              <w:rPr>
                <w:rStyle w:val="C5"/>
                <w:rFonts w:ascii="Times New Roman" w:hAnsi="Times New Roman"/>
                <w:sz w:val="22"/>
              </w:rPr>
            </w:pPr>
            <w:r>
              <w:rPr>
                <w:rStyle w:val="C5"/>
                <w:rFonts w:ascii="Times New Roman" w:hAnsi="Times New Roman"/>
                <w:sz w:val="22"/>
              </w:rPr>
              <w:t>- температура</w:t>
            </w:r>
          </w:p>
          <w:p>
            <w:pPr>
              <w:tabs>
                <w:tab w:val="left" w:pos="0" w:leader="none"/>
              </w:tabs>
              <w:spacing w:lineRule="auto" w:line="240" w:after="0" w:beforeAutospacing="0" w:afterAutospacing="0"/>
              <w:rPr>
                <w:rStyle w:val="C5"/>
                <w:rFonts w:ascii="Times New Roman" w:hAnsi="Times New Roman"/>
                <w:sz w:val="22"/>
              </w:rPr>
            </w:pPr>
            <w:r>
              <w:rPr>
                <w:rStyle w:val="C5"/>
                <w:rFonts w:ascii="Times New Roman" w:hAnsi="Times New Roman"/>
                <w:sz w:val="22"/>
              </w:rPr>
              <w:t>- ресурс попереднього фільтру (номінальний)</w:t>
            </w:r>
          </w:p>
          <w:p>
            <w:pPr>
              <w:tabs>
                <w:tab w:val="left" w:pos="0" w:leader="none"/>
              </w:tabs>
              <w:spacing w:lineRule="auto" w:line="240" w:after="0" w:beforeAutospacing="0" w:afterAutospacing="0"/>
              <w:rPr>
                <w:rFonts w:ascii="Times New Roman" w:hAnsi="Times New Roman"/>
              </w:rPr>
            </w:pPr>
            <w:r>
              <w:rPr>
                <w:rFonts w:ascii="Times New Roman" w:hAnsi="Times New Roman"/>
              </w:rPr>
              <w:t>Розміщення: настільне</w:t>
            </w:r>
          </w:p>
          <w:p>
            <w:pPr>
              <w:tabs>
                <w:tab w:val="left" w:pos="0" w:leader="none"/>
              </w:tabs>
              <w:spacing w:lineRule="auto" w:line="240" w:after="0" w:beforeAutospacing="0" w:afterAutospacing="0"/>
              <w:rPr>
                <w:rFonts w:ascii="Times New Roman" w:hAnsi="Times New Roman"/>
              </w:rPr>
            </w:pPr>
            <w:r>
              <w:rPr>
                <w:rFonts w:ascii="Times New Roman" w:hAnsi="Times New Roman"/>
              </w:rPr>
              <w:t>Габарити: 400х350х550 мм</w:t>
            </w:r>
          </w:p>
          <w:p>
            <w:pPr>
              <w:tabs>
                <w:tab w:val="left" w:pos="0" w:leader="none"/>
              </w:tabs>
              <w:spacing w:lineRule="auto" w:line="240" w:after="0" w:beforeAutospacing="0" w:afterAutospacing="0"/>
              <w:rPr>
                <w:rFonts w:ascii="Times New Roman" w:hAnsi="Times New Roman"/>
              </w:rPr>
            </w:pPr>
            <w:r>
              <w:rPr>
                <w:rFonts w:ascii="Times New Roman" w:hAnsi="Times New Roman"/>
              </w:rPr>
              <w:t>Вага, не більше: 12 кг</w:t>
            </w:r>
          </w:p>
          <w:p>
            <w:pPr>
              <w:tabs>
                <w:tab w:val="left" w:pos="0" w:leader="none"/>
              </w:tabs>
              <w:spacing w:lineRule="auto" w:line="240" w:after="0" w:beforeAutospacing="0" w:afterAutospacing="0"/>
              <w:rPr>
                <w:rFonts w:ascii="Times New Roman" w:hAnsi="Times New Roman"/>
              </w:rPr>
            </w:pPr>
            <w:r>
              <w:rPr>
                <w:rFonts w:ascii="Times New Roman" w:hAnsi="Times New Roman"/>
              </w:rPr>
              <w:t>Рівень шуму, не більше: 47 дБ</w:t>
            </w:r>
          </w:p>
          <w:p>
            <w:pPr>
              <w:tabs>
                <w:tab w:val="left" w:pos="0" w:leader="none"/>
              </w:tabs>
              <w:spacing w:lineRule="auto" w:line="240" w:after="0" w:beforeAutospacing="0" w:afterAutospacing="0"/>
              <w:rPr>
                <w:rFonts w:ascii="Times New Roman" w:hAnsi="Times New Roman"/>
              </w:rPr>
            </w:pPr>
            <w:r>
              <w:rPr>
                <w:rFonts w:ascii="Times New Roman" w:hAnsi="Times New Roman"/>
              </w:rPr>
              <w:t>Комплектація:</w:t>
            </w:r>
          </w:p>
          <w:p>
            <w:pPr>
              <w:tabs>
                <w:tab w:val="left" w:pos="0" w:leader="none"/>
              </w:tabs>
              <w:spacing w:lineRule="auto" w:line="240" w:after="0" w:beforeAutospacing="0" w:afterAutospacing="0"/>
              <w:rPr>
                <w:rFonts w:ascii="Times New Roman" w:hAnsi="Times New Roman"/>
              </w:rPr>
            </w:pPr>
            <w:r>
              <w:rPr>
                <w:rFonts w:ascii="Times New Roman" w:hAnsi="Times New Roman"/>
              </w:rPr>
              <w:t>- пристрій</w:t>
            </w:r>
          </w:p>
          <w:p>
            <w:pPr>
              <w:tabs>
                <w:tab w:val="left" w:pos="0" w:leader="none"/>
              </w:tabs>
              <w:spacing w:lineRule="auto" w:line="240" w:after="0" w:beforeAutospacing="0" w:afterAutospacing="0"/>
              <w:rPr>
                <w:rFonts w:ascii="Times New Roman" w:hAnsi="Times New Roman"/>
              </w:rPr>
            </w:pPr>
            <w:r>
              <w:rPr>
                <w:rFonts w:ascii="Times New Roman" w:hAnsi="Times New Roman"/>
              </w:rPr>
              <w:t>- накопичувальний бак не менше 30 л з датчиком рівня</w:t>
            </w:r>
          </w:p>
          <w:p>
            <w:pPr>
              <w:tabs>
                <w:tab w:val="left" w:pos="0" w:leader="none"/>
              </w:tabs>
              <w:spacing w:lineRule="auto" w:line="240" w:after="0" w:beforeAutospacing="0" w:afterAutospacing="0"/>
              <w:rPr>
                <w:rFonts w:ascii="Times New Roman" w:hAnsi="Times New Roman"/>
              </w:rPr>
            </w:pPr>
            <w:r>
              <w:rPr>
                <w:rFonts w:ascii="Times New Roman" w:hAnsi="Times New Roman"/>
              </w:rPr>
              <w:t>Паспорт/Інструкція з використання, декларація відповідності, гарантійний лист виробника/дистріб’ютора.</w:t>
            </w:r>
          </w:p>
        </w:tc>
        <w:tc>
          <w:tcPr>
            <w:tcW w:w="2127" w:type="dxa"/>
          </w:tcPr>
          <w:p>
            <w:pPr>
              <w:spacing w:lineRule="auto" w:line="240" w:after="0" w:beforeAutospacing="0" w:afterAutospacing="0"/>
              <w:rPr>
                <w:rFonts w:ascii="Times New Roman" w:hAnsi="Times New Roman"/>
              </w:rPr>
            </w:pPr>
          </w:p>
        </w:tc>
      </w:tr>
    </w:tbl>
    <w:p>
      <w:pPr>
        <w:pStyle w:val="P13"/>
        <w:rPr>
          <w:rFonts w:ascii="Times New Roman" w:hAnsi="Times New Roman"/>
        </w:rPr>
      </w:pPr>
    </w:p>
    <w:p>
      <w:pPr>
        <w:spacing w:lineRule="auto" w:line="240" w:after="0" w:beforeAutospacing="0" w:afterAutospacing="0"/>
        <w:jc w:val="center"/>
        <w:rPr>
          <w:rFonts w:ascii="Times New Roman" w:hAnsi="Times New Roman"/>
          <w:b w:val="1"/>
          <w:sz w:val="24"/>
        </w:rPr>
      </w:pPr>
      <w:r>
        <w:rPr>
          <w:rFonts w:ascii="Times New Roman" w:hAnsi="Times New Roman"/>
        </w:rPr>
        <w:t>Учасник має право запропонувати еквівалент предмету закупівлі. У такому випадку він повинен документально довести еквівалентність запропонованого товару. Аналоги не пропонувати.</w:t>
      </w:r>
    </w:p>
    <w:p>
      <w:pPr>
        <w:spacing w:lineRule="auto" w:line="240" w:after="0" w:beforeAutospacing="0" w:afterAutospacing="0"/>
        <w:jc w:val="center"/>
        <w:rPr>
          <w:rFonts w:ascii="Times New Roman" w:hAnsi="Times New Roman"/>
          <w:b w:val="1"/>
          <w:sz w:val="24"/>
        </w:rPr>
      </w:pP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rFonts w:ascii="Times New Roman" w:hAnsi="Times New Roman"/>
          <w:sz w:val="24"/>
        </w:rPr>
      </w:pPr>
      <w:r>
        <w:rPr>
          <w:rFonts w:ascii="Times New Roman" w:hAnsi="Times New Roman"/>
          <w:sz w:val="24"/>
        </w:rPr>
        <w:br w:type="textWrapping"/>
        <w:br w:type="textWrapping"/>
        <w:br w:type="textWrapping"/>
        <w:br w:type="textWrapping"/>
      </w:r>
    </w:p>
    <w:p>
      <w:pPr>
        <w:rPr>
          <w:rFonts w:ascii="Times New Roman" w:hAnsi="Times New Roman"/>
          <w:sz w:val="24"/>
        </w:rPr>
      </w:pPr>
      <w:r>
        <w:rPr>
          <w:rFonts w:ascii="Times New Roman" w:hAnsi="Times New Roman"/>
        </w:rPr>
        <w:br w:type="page"/>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6803"/>
        <w:jc w:val="right"/>
        <w:rPr>
          <w:rFonts w:ascii="Times New Roman" w:hAnsi="Times New Roman"/>
          <w:sz w:val="24"/>
        </w:rPr>
      </w:pPr>
      <w:r>
        <w:rPr>
          <w:rFonts w:ascii="Times New Roman" w:hAnsi="Times New Roman"/>
          <w:sz w:val="24"/>
        </w:rPr>
        <w:t>Додаток ІІІ</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center"/>
        <w:rPr>
          <w:rFonts w:ascii="Times New Roman" w:hAnsi="Times New Roman"/>
          <w:sz w:val="24"/>
        </w:rPr>
      </w:pPr>
      <w:r>
        <w:rPr>
          <w:rFonts w:ascii="Times New Roman" w:hAnsi="Times New Roman"/>
          <w:i w:val="1"/>
          <w:sz w:val="24"/>
        </w:rPr>
        <w:t>Проєкт договору</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center"/>
        <w:rPr>
          <w:rFonts w:ascii="Times New Roman" w:hAnsi="Times New Roman"/>
          <w:sz w:val="24"/>
        </w:rPr>
      </w:pPr>
      <w:r>
        <w:rPr>
          <w:rFonts w:ascii="Times New Roman" w:hAnsi="Times New Roman"/>
          <w:i w:val="1"/>
          <w:sz w:val="24"/>
        </w:rPr>
        <w:t>(буде уточнений під час підписання)</w:t>
      </w:r>
    </w:p>
    <w:p>
      <w:pPr>
        <w:spacing w:lineRule="auto" w:line="240" w:after="0" w:beforeAutospacing="0" w:afterAutospacing="0"/>
        <w:rPr>
          <w:rFonts w:ascii="Times New Roman" w:hAnsi="Times New Roman"/>
          <w:sz w:val="24"/>
        </w:rPr>
      </w:pPr>
    </w:p>
    <w:p>
      <w:pPr>
        <w:pStyle w:val="P13"/>
        <w:jc w:val="center"/>
        <w:rPr>
          <w:rFonts w:ascii="Times New Roman" w:hAnsi="Times New Roman"/>
          <w:b w:val="1"/>
          <w:sz w:val="24"/>
        </w:rPr>
      </w:pPr>
      <w:r>
        <w:rPr>
          <w:rFonts w:ascii="Times New Roman" w:hAnsi="Times New Roman"/>
          <w:b w:val="1"/>
          <w:sz w:val="24"/>
        </w:rPr>
        <w:t>ДОГОВІР №</w:t>
      </w:r>
    </w:p>
    <w:p>
      <w:pPr>
        <w:pStyle w:val="P13"/>
        <w:jc w:val="center"/>
        <w:rPr>
          <w:rFonts w:ascii="Times New Roman" w:hAnsi="Times New Roman"/>
          <w:b w:val="1"/>
          <w:color w:val="000000"/>
          <w:sz w:val="24"/>
        </w:rPr>
      </w:pPr>
      <w:bookmarkStart w:id="7" w:name="_dx_frag_StartFragment"/>
      <w:bookmarkEnd w:id="7"/>
      <w:r>
        <w:rPr>
          <w:rFonts w:ascii="Times New Roman" w:hAnsi="Times New Roman"/>
          <w:b w:val="1"/>
          <w:color w:val="000000"/>
          <w:sz w:val="24"/>
        </w:rPr>
        <w:t>про закупівлю товару</w:t>
      </w:r>
    </w:p>
    <w:p>
      <w:pPr>
        <w:spacing w:before="240" w:after="240" w:beforeAutospacing="0" w:afterAutospacing="0"/>
        <w:rPr>
          <w:rFonts w:ascii="Times New Roman" w:hAnsi="Times New Roman"/>
          <w:color w:val="000000"/>
          <w:sz w:val="24"/>
        </w:rPr>
      </w:pPr>
      <w:r>
        <w:rPr>
          <w:rFonts w:ascii="Times New Roman" w:hAnsi="Times New Roman"/>
          <w:color w:val="000000"/>
          <w:sz w:val="24"/>
        </w:rPr>
        <w:t xml:space="preserve">м. Ужгород </w:t>
        <w:tab/>
        <w:tab/>
        <w:tab/>
        <w:tab/>
        <w:tab/>
        <w:tab/>
        <w:tab/>
        <w:tab/>
        <w:t xml:space="preserve">  “__” _______ 202___ року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________________________________ (надалі – Продавець), в особі _________________, що діє на підставі Статуту ____________________, з однієї сторони, та Закарпатська регіональна державна лабораторія Держпродспоживслужби (надалі – Покупець), в особі директора Садварі Вячеслава Юрійовича, що діє на підставі Положення, з іншої сторони, надалі за текстом кожен окремо іменується - «Сторона», а разом – «Сторони», уклали цей Договір про закупівлю товару (надалі – Договір) про наступне:</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 xml:space="preserve">І. </w:t>
      </w:r>
      <w:r>
        <w:rPr>
          <w:rFonts w:ascii="Times New Roman" w:hAnsi="Times New Roman"/>
          <w:b w:val="1"/>
          <w:color w:val="000000"/>
          <w:sz w:val="24"/>
        </w:rPr>
        <w:t>ПРЕДМЕТ ДОГОВОРУ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1.1. Продавець зобов'язується поставити Покупцеві Товар, зазначений в пункті 1.2. даного розділу не пізніше 20 жовтня 2023 року, а Покупець - прийняти і оплатити такий Товар.</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1.2. Найменування Товару, одиниці виміру, обсяг, ціна товару з доставкою зазначені в Специфікації (Додаток № 1 до Договору).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1.3. Обсяги закупівлі Товару можуть бути зменшені залежно від реального фінансування видатків.</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1.4. Договір укладений за результатами відкритих торгів (з особливостями) відповідно до вимог Закону України «Про публічні закупівлі» (далі – Закон) та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spacing w:before="240" w:after="240" w:beforeAutospacing="0" w:afterAutospacing="0"/>
        <w:jc w:val="both"/>
        <w:rPr>
          <w:rFonts w:ascii="Times New Roman" w:hAnsi="Times New Roman"/>
          <w:color w:val="FF0000"/>
          <w:sz w:val="24"/>
        </w:rPr>
      </w:pPr>
      <w:r>
        <w:rPr>
          <w:rFonts w:ascii="Times New Roman" w:hAnsi="Times New Roman"/>
          <w:color w:val="000000"/>
          <w:sz w:val="24"/>
        </w:rPr>
        <w:t xml:space="preserve">назва предмету закупівлі (згідно з проведеною процедурою закупівлі): </w:t>
      </w:r>
      <w:r>
        <w:rPr>
          <w:rFonts w:ascii="Times New Roman" w:hAnsi="Times New Roman"/>
          <w:color w:val="auto"/>
          <w:sz w:val="24"/>
        </w:rPr>
        <w:t xml:space="preserve">42910000-8  Апарати для дистилювання, фільтрування чи ректифікації</w:t>
      </w:r>
      <w:r>
        <w:rPr>
          <w:rFonts w:ascii="Times New Roman" w:hAnsi="Times New Roman"/>
          <w:color w:val="FF0000"/>
          <w:sz w:val="24"/>
        </w:rPr>
        <w:t xml:space="preserve"> </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 xml:space="preserve">II. </w:t>
      </w:r>
      <w:r>
        <w:rPr>
          <w:rFonts w:ascii="Times New Roman" w:hAnsi="Times New Roman"/>
          <w:b w:val="1"/>
          <w:color w:val="000000"/>
          <w:sz w:val="24"/>
        </w:rPr>
        <w:t>ЯКІСТЬ ТОВАРУ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2.1. Продавець зобов’язаний поставити Покупцю Товар, якість якого відповідає умовам, що визначені в Тендерній документації та Тендерній пропозиції наданої учасником (Продавцем) в рамках проведеної процедури закупівлі, та гарантує якість і ефективність Товару, що постачається, за цим Договором. Підтвердженням якості Товару з боку Продавця є сертифікат якості або відповідності виробника із обов’язковим зазначенням складу Товару.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2.2. Товар відвантажується в упаковці, що повинна захищати Товар від ушкоджень під час перевезення, а також під час вантажно-розвантажувальних робіт.</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2.3. Тара та упаковка Товару повинні бути термостабільні, замарковані та пристосовані до розвантаження у ручний спосіб.</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2.4. Продавець несе перед Покупцем відповідальність за псування Товару внаслідок неякісної чи неналежної тари й пакування. Продавець гарантує, що Товар не має недоліків та дефектів, що пов’язані із якістю його складових, з яких він (Товар) виготовляється та/або із технологією його (Товару) виробництва.</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2.5. Продавець зобов’язаний створити належні умови зберігання та транспортування Товару до моменту передачі його Покупцю в відповідності до рекомендацій виробника Товару щодо умов зберігання та транспортування.</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 xml:space="preserve">III. </w:t>
      </w:r>
      <w:r>
        <w:rPr>
          <w:rFonts w:ascii="Times New Roman" w:hAnsi="Times New Roman"/>
          <w:b w:val="1"/>
          <w:color w:val="000000"/>
          <w:sz w:val="24"/>
        </w:rPr>
        <w:t>ВАРТІСТЬ ДОГОВОРУ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3.1. Загальна вартість цього Договору: ____________, в т.ч. ПДВ: _____</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3.2. Загальна вартість Договору включає ціну Товару та будь-які витрати Продавця, пов'язані з пакуванням, маркуванням, а також транспортуванням та вивантаженням Товару до місця поставки Товару за адресою Покупця, що наведена в п. 5.1. цього Договору.</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 xml:space="preserve">IV. </w:t>
      </w:r>
      <w:r>
        <w:rPr>
          <w:rFonts w:ascii="Times New Roman" w:hAnsi="Times New Roman"/>
          <w:b w:val="1"/>
          <w:color w:val="000000"/>
          <w:sz w:val="24"/>
        </w:rPr>
        <w:t>ПОРЯДОК ЗДІЙСНЕННЯ ОПЛАТИ</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4.1. Розрахунки за цим Договором проводяться шляхом безготівкового перерахування коштів Покупця з його поточного рахунку на поточний рахунок Продавця, що визначений в розділі XIII цього Договору та за наявності відповідного бюджетного призначення.</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4.2. Покупець здійснює оплату вартості поставленого Товару (партії) відповідно до видаткової накладної.</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 xml:space="preserve">V. </w:t>
      </w:r>
      <w:r>
        <w:rPr>
          <w:rFonts w:ascii="Times New Roman" w:hAnsi="Times New Roman"/>
          <w:b w:val="1"/>
          <w:color w:val="000000"/>
          <w:sz w:val="24"/>
        </w:rPr>
        <w:t>ПОСТАВКА ТОВАРУ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5.1. Поставка Товару здійснюється Продавцем за адресою: м. Ужгород, вул. Минайська, буд. 39.</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5.2. Поставка Товару Продавцем здійснюється партією (партіями) протягом 10 днів з моменту отримання Продавцем заявки від Покупця.</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В Заявці на поставку Товару вказується: найменування, кількість Товару, адреса доставки, прізвище уповноваженої особи Покупця з правом підпису видаткової накладної, яка буде здійснювати прийом товару, термін поставки.</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5.3. Транспортування Товару здійснюється власними силами Продавця та за його (Продавця) рахунок з обов’язковим забезпеченням температурного режиму.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5.4. Отримання замовленого Товару здійснюється уповноваженою особою Покупця за наявності сертифікату якості або відповідності виробника.</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5.5. Моментом доставки Товару вважається дата підписання видаткової накладної уповноваженим представником Покупця.</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5.6. Прийняття та передача Товару за кількістю упаковок (із зазначенням кількості одиниць Товару в упаковці) здійснюється уповноваженими представниками Покупця та Продавця у місці поставки Товару, шляхом підписання видаткової накладної та Акту прийому-передачі.</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5.7. Ризик випадкового знищення та випадкового пошкодження (псування) Товару до моменту його передачі Покупцю, несе Продавець, Покупець - після приймання Товару.</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 xml:space="preserve">VI. </w:t>
      </w:r>
      <w:r>
        <w:rPr>
          <w:rFonts w:ascii="Times New Roman" w:hAnsi="Times New Roman"/>
          <w:b w:val="1"/>
          <w:color w:val="000000"/>
          <w:sz w:val="24"/>
        </w:rPr>
        <w:t>ПРАВА ТА ОБОВ'ЯЗКИ СТОРІН</w:t>
      </w:r>
    </w:p>
    <w:p>
      <w:pPr>
        <w:spacing w:before="240" w:after="240" w:beforeAutospacing="0" w:afterAutospacing="0"/>
        <w:rPr>
          <w:rFonts w:ascii="Times New Roman" w:hAnsi="Times New Roman"/>
          <w:color w:val="000000"/>
          <w:sz w:val="24"/>
        </w:rPr>
      </w:pPr>
      <w:r>
        <w:rPr>
          <w:rFonts w:ascii="Times New Roman" w:hAnsi="Times New Roman"/>
          <w:color w:val="000000"/>
          <w:sz w:val="24"/>
        </w:rPr>
        <w:t>6.1. Покупець зобов’язаний:</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6.1.1. Своєчасно та в повному обсязі сплатити за поставлений Товар;</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6.1.2. Приймати поставлений Товар згідно з видатковою накладною;</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6.1.3. Належним чином виконувати свої зобов’язання за цим Договором.</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6.1.4. Повідомляти Продавця про виявлення неякісного/невідповідного Товару, у разі виявлення після його отримання.</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6.2. Покупець має право:</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6.2.1. Достроково в односторонньому порядку розірвати цей Договір у разі невиконання зобов'язань Продавцем, письмово повідомивши про це його у строк, який становить не менше 20 (двадцяти) календарних днів до запланованого дня розірвання Договору;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6.2.2. Контролювати поставку Товару у строки, встановлені цим Договором;</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додаткову угоду до цього Договору;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6.2.4. Перед використанням Товару здійснити дослідження (тестування) Товару в компетентних установах. Для цього зразки Товару відбираються у присутності уповноваженої особи Продавця (уповноважена особа повинна мати підтверджуючий документ на право представляти інтереси Продавця) та Покупця, про що складається Акт про взяття зразка/ів та відправлення його на дослідження (тестування).</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6.2.5. У разі встановлення неналежної якості (відповідності) Товару за результатами дослідження в компетентній установі, Покупець повідомляє про це Продавця для вжиття заходів відповідно до п. 6.3.6. та 6.3.7. цього Договору.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6.3. Продавець зобов'язаний:</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6.3.1. Забезпечити поставку Товару у строк, встановлений цим Договором;</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6.3.2. Забезпечити поставку Товару, якість якого відповідає умовам, установленим розділом II цього Договору.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6.3.3. Направити свого представника на виклик до Покупця, у разі надходження від нього повідомлення щодо необхідності дослідження (тестування) Товару та/або виявлення неякісного/невідповідного Товару, у разі якщо такий Товар виявлено після отримання.</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6.3.4. У випадку виявлення Покупцем Товару неналежної якості або невідповідності специфікації, складається Акт невідповідності Товару (далі – Акт) за участю представників Продавця та Покупця. В такому разі Покупець повертає Товар (частину Товару), а Продавець зобов’язаний протягом 5–ти календарних днів прийняти Товар неналежної якості (невідповідності) та замінити його в цей же строк на Товар належної якості (відповідності).</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6.3.5. У випадку відсутності (неявки на виклик) представників Продавця при виявлені недоліків Товару, або відмови їх підписати Акт, даний Акт складається і підписується Покупцем в односторонньому порядку і вважається погодженим Продавцем. На підставі цього Акту, підписаного тільки Покупцем, Продавець зобов’язаний протягом 5–ти календарних дні прийняти від Покупця Товар неналежної якості (невідповідності) та в цей же строк замінити його на Товар належної якості (відповідності).</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6.3.6. У разі встановлення неналежної якості (відповідності) Товару Продавець зобов'язаний протягом 5 робочих днів замінити неякісний (невідповідний) Товар на Товар належної якості; якщо Сторони не досягли згоди щодо заміни Товару, поставлений Товар (частина Товару) повертається Продавцю, в свою чергу Продавець протягом 5 робочих днів повертає Покупцю сплачені кошти (якщо такі вже були сплачені).</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6.3.7. Продавець зобов’язаний прийняти від Покупця Товар (частину Товару) неналежної якості (відповідності) з урахуванням пошкодження його чи упаковки даного Товару при перевірці якості та відповідності специфікації.</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6.3.8. Не здійснювати будь-яких дій, які можуть призвести до порушень прав та законних інтересів Покупця.</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6.3.9. В строки, передбачені чинним законодавством України, надати Покупцю податкові накладні, складені в електронній формі та зареєстровані в установленому порядку в Єдиному реєстрі податкових накладних.</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6.4. Продавець має право:</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6.4.1. Своєчасно та в повному обсязі отримати плату за поставлений Товар;</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6.4.2. На дострокову поставку Товару за письмовим погодженням з Покупцем.</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 xml:space="preserve">VII. </w:t>
      </w:r>
      <w:r>
        <w:rPr>
          <w:rFonts w:ascii="Times New Roman" w:hAnsi="Times New Roman"/>
          <w:b w:val="1"/>
          <w:color w:val="000000"/>
          <w:sz w:val="24"/>
        </w:rPr>
        <w:t>ВІДПОВІДАЛЬНІСТЬ СТОРІН</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7.2. У разі невиконання або несвоєчасного виконання зобов'язань за цим Договором Продавець сплачує Покупцю штрафні санкції (штраф, пеня) у розмірах вказаних у п.7.3.1. та п.7.3.2. цього Договору.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7.3. Види порушень та санкції за них, установлені Договором:</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7.3.1. У випадку порушення строків поставки Товару, Продавець сплачує Покупцю штраф у розмірі 0,1 % від вартості Товару, за кожний день прострочення поставки; порушення строків поставки Товару понад 30 днів - додатково штраф у розмірі 7% від вартості товарів щодо яких порушено строк поставки.</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7.3.2. У випадку порушення строків виконання своїх зобов’язань щодо заміни Товару в зв’язку з його невідповідністю у кількості та/або якості за цим Договором, Продавець сплачує Покупцю штраф у розмірі 100 (ста) % від загальної вартості недопоставленого Товару або Товару неналежної якості.</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7.3.3. У разі невиконання умов договору Сторонами можуть бути застосовані оперативно-господарські санкції відповідно до статей 235-237 Господарського кодексу України.</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7.4. Відшкодування збитків, сплата штрафів та/або пені не звільняють Сторони від виконання зобов'язань за цим Договором.</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 xml:space="preserve">VIII. </w:t>
      </w:r>
      <w:r>
        <w:rPr>
          <w:rFonts w:ascii="Times New Roman" w:hAnsi="Times New Roman"/>
          <w:b w:val="1"/>
          <w:color w:val="000000"/>
          <w:sz w:val="24"/>
        </w:rPr>
        <w:t>ОБСТАВИНИ НЕПЕРЕБОРНОЇ СИЛИ</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з законодавством України посвідчувати обставини форс – мажору відповідно до чинного законодавства України, в тому числі Торгово-промислової палати України.</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8.4. У разі коли строк дії 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 xml:space="preserve">IX. </w:t>
      </w:r>
      <w:r>
        <w:rPr>
          <w:rFonts w:ascii="Times New Roman" w:hAnsi="Times New Roman"/>
          <w:b w:val="1"/>
          <w:color w:val="000000"/>
          <w:sz w:val="24"/>
        </w:rPr>
        <w:t>ВИРІШЕННЯ СПОРІВ</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9.1. У випадку виникнення спорів або розбіжностей Сторони зобов'язуються вирішувати їх шляхом взаємних переговорів та консультацій.</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9.2. У разі недосягнення Сторонами згоди, спори (розбіжності) вирішуються у судовому порядку.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9.3.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X.</w:t>
      </w:r>
      <w:r>
        <w:rPr>
          <w:rFonts w:ascii="Times New Roman" w:hAnsi="Times New Roman"/>
          <w:b w:val="1"/>
          <w:color w:val="000000"/>
          <w:sz w:val="24"/>
        </w:rPr>
        <w:t xml:space="preserve"> ІНШІ УМОВИ</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10.1. Сторони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вплинути на реалізацію Договору та виконання зобов'язань по ньому.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10.2.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ХІІІ.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10.3. Продавець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в порядку, передбаченому чинним законодавством України.</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10.4. Внесення змін та доповнень до Договору здійснюється шляхом укладення додаткових договорів до цього Договору.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10.5. У разі якщо за висновком Моніторингу процедури закупівлі, що здійснював центральний орган виконавчої влади, що реалізує державну політику у сфері державного фінансового контролю, та його міжрегіональні територіальні органи, замовника було зобов’язано здійснити заходи щодо припинення зобов’язань за Договором через виявлені порушення під час проведення процедури закупівлі і якщо замовник не оскаржив висновок до суду у встановлені Законом терміни, замовник в односторонньому порядку розриває Договір протягом 5 робочих днів з дня оприлюднення зазначеного висновку в електронній системі закупівель.</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10.6.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10.7.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10.8. Покупець не є платником податку на прибуток.</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10.9. Продавець є ________________.</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10.10.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 зменшення обсягів закупівлі, зокрема з урахуванням фактичного обсягу видатків замовника;</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3) покращення якості предмета закупівлі за умови, що таке покращення не призведе до збільшення суми, визначеної в договорі про закупівлю;</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5) погодження зміни ціни в договорі про закупівлю в бік зменшення (без зміни кількості (обсягу) та якості товарів, робіт і послуг);</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 xml:space="preserve">XІ. </w:t>
      </w:r>
      <w:r>
        <w:rPr>
          <w:rFonts w:ascii="Times New Roman" w:hAnsi="Times New Roman"/>
          <w:b w:val="1"/>
          <w:color w:val="000000"/>
          <w:sz w:val="24"/>
        </w:rPr>
        <w:t>СТРОК ДІЇ ДОГОВОРУ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 xml:space="preserve">11.1. Цей Договір набирає чинності з дати його підписання уповноваженими представниками Сторін і діє до </w:t>
      </w:r>
      <w:r>
        <w:rPr>
          <w:rFonts w:ascii="Times New Roman" w:hAnsi="Times New Roman"/>
          <w:color w:val="auto"/>
          <w:sz w:val="24"/>
        </w:rPr>
        <w:t xml:space="preserve">31.10.2023 </w:t>
      </w:r>
      <w:r>
        <w:rPr>
          <w:rFonts w:ascii="Times New Roman" w:hAnsi="Times New Roman"/>
          <w:color w:val="000000"/>
          <w:sz w:val="24"/>
        </w:rPr>
        <w:t>року, але в будь-якому випадку до повного виконання Сторонами всіх своїх зобов’язань за цим Договором.</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11.2. Цей Договір укладений українською мовою, у 2 (двох) оригінальних примірниках, що мають однакову юридичну силу.</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 xml:space="preserve">XII. </w:t>
      </w:r>
      <w:r>
        <w:rPr>
          <w:rFonts w:ascii="Times New Roman" w:hAnsi="Times New Roman"/>
          <w:b w:val="1"/>
          <w:color w:val="000000"/>
          <w:sz w:val="24"/>
        </w:rPr>
        <w:t>АНТИКОРУПЦІЙНЕ ЗАСТЕРЕЖЕННЯ</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12.2.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12.3.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12.4.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12.5.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12.6.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pPr>
        <w:spacing w:before="240" w:after="240" w:beforeAutospacing="0" w:afterAutospacing="0"/>
        <w:jc w:val="center"/>
        <w:rPr>
          <w:rFonts w:ascii="Times New Roman" w:hAnsi="Times New Roman"/>
          <w:b w:val="1"/>
          <w:color w:val="000000"/>
          <w:sz w:val="24"/>
        </w:rPr>
      </w:pPr>
      <w:r>
        <w:rPr>
          <w:rFonts w:ascii="Times New Roman" w:hAnsi="Times New Roman"/>
          <w:color w:val="000000"/>
          <w:sz w:val="24"/>
        </w:rPr>
        <w:t xml:space="preserve">XIІI. </w:t>
      </w:r>
      <w:r>
        <w:rPr>
          <w:rFonts w:ascii="Times New Roman" w:hAnsi="Times New Roman"/>
          <w:b w:val="1"/>
          <w:color w:val="000000"/>
          <w:sz w:val="24"/>
        </w:rPr>
        <w:t>ДОДАТКИ ДО ДОГОВОРУ</w:t>
      </w:r>
    </w:p>
    <w:p>
      <w:pPr>
        <w:spacing w:before="240" w:after="240" w:beforeAutospacing="0" w:afterAutospacing="0"/>
        <w:rPr>
          <w:rFonts w:ascii="Times New Roman" w:hAnsi="Times New Roman"/>
          <w:color w:val="000000"/>
          <w:sz w:val="24"/>
        </w:rPr>
      </w:pPr>
      <w:r>
        <w:rPr>
          <w:rFonts w:ascii="Times New Roman" w:hAnsi="Times New Roman"/>
          <w:color w:val="000000"/>
          <w:sz w:val="24"/>
        </w:rPr>
        <w:t>13.1. Невід’ємною частиною цього Договору є:</w:t>
      </w:r>
    </w:p>
    <w:p>
      <w:pPr>
        <w:spacing w:lineRule="auto" w:line="240" w:beforeAutospacing="0" w:afterAutospacing="0"/>
        <w:rPr>
          <w:rFonts w:ascii="Times New Roman" w:hAnsi="Times New Roman"/>
        </w:rPr>
      </w:pPr>
      <w:r>
        <w:rPr>
          <w:rFonts w:ascii="Times New Roman" w:hAnsi="Times New Roman"/>
          <w:color w:val="000000"/>
          <w:sz w:val="24"/>
        </w:rPr>
        <w:t>Додаток № 1 до Договору – «Специфікація».</w:t>
      </w:r>
      <w:r>
        <w:rPr>
          <w:rFonts w:ascii="Times New Roman" w:hAnsi="Times New Roman"/>
          <w:sz w:val="24"/>
        </w:rPr>
        <w:br w:type="textWrapping"/>
      </w:r>
    </w:p>
    <w:p>
      <w:pPr>
        <w:ind w:firstLine="720"/>
        <w:jc w:val="center"/>
        <w:rPr>
          <w:rFonts w:ascii="Times New Roman" w:hAnsi="Times New Roman"/>
        </w:rPr>
      </w:pPr>
      <w:r>
        <w:rPr>
          <w:rFonts w:ascii="Times New Roman" w:hAnsi="Times New Roman"/>
        </w:rPr>
        <w:t xml:space="preserve">XIV. </w:t>
      </w:r>
      <w:r>
        <w:rPr>
          <w:rFonts w:ascii="Times New Roman" w:hAnsi="Times New Roman"/>
          <w:b w:val="1"/>
        </w:rPr>
        <w:t>РЕКВИЗИТИ СТОРІН</w:t>
      </w:r>
    </w:p>
    <w:p>
      <w:pPr>
        <w:rPr>
          <w:rFonts w:ascii="Times New Roman" w:hAnsi="Times New Roman"/>
          <w:sz w:val="8"/>
        </w:rPr>
      </w:pPr>
    </w:p>
    <w:tbl>
      <w:tblPr>
        <w:tblW w:w="0" w:type="auto"/>
        <w:tblInd w:w="392" w:type="dxa"/>
        <w:tblLook w:val="01E0"/>
      </w:tblPr>
      <w:tblGrid/>
      <w:tr>
        <w:tc>
          <w:tcPr>
            <w:tcW w:w="4530" w:type="dxa"/>
            <w:hideMark/>
          </w:tcPr>
          <w:p>
            <w:pPr>
              <w:spacing w:lineRule="auto" w:line="276" w:after="0" w:beforeAutospacing="0" w:afterAutospacing="0"/>
              <w:jc w:val="center"/>
              <w:rPr>
                <w:rFonts w:ascii="Times New Roman" w:hAnsi="Times New Roman"/>
              </w:rPr>
            </w:pPr>
            <w:r>
              <w:rPr>
                <w:rFonts w:ascii="Times New Roman" w:hAnsi="Times New Roman"/>
                <w:b w:val="1"/>
              </w:rPr>
              <w:t>ПОКУПЕЦЬ:</w:t>
            </w:r>
          </w:p>
        </w:tc>
        <w:tc>
          <w:tcPr>
            <w:tcW w:w="4433" w:type="dxa"/>
            <w:hideMark/>
          </w:tcPr>
          <w:p>
            <w:pPr>
              <w:spacing w:lineRule="auto" w:line="276" w:after="0" w:beforeAutospacing="0" w:afterAutospacing="0"/>
              <w:jc w:val="center"/>
              <w:rPr>
                <w:rFonts w:ascii="Times New Roman" w:hAnsi="Times New Roman"/>
                <w:b w:val="1"/>
              </w:rPr>
            </w:pPr>
            <w:r>
              <w:rPr>
                <w:rFonts w:ascii="Times New Roman" w:hAnsi="Times New Roman"/>
                <w:b w:val="1"/>
              </w:rPr>
              <w:t>ПРОДАВЕЦЬ:</w:t>
            </w:r>
          </w:p>
        </w:tc>
      </w:tr>
    </w:tbl>
    <w:p>
      <w:pPr>
        <w:spacing w:lineRule="auto" w:line="240" w:beforeAutospacing="0" w:afterAutospacing="0"/>
        <w:rPr>
          <w:rFonts w:ascii="Times New Roman" w:hAnsi="Times New Roman"/>
          <w:sz w:val="24"/>
        </w:rPr>
      </w:pPr>
    </w:p>
    <w:p>
      <w:pPr>
        <w:rPr>
          <w:rFonts w:ascii="Times New Roman" w:hAnsi="Times New Roman"/>
          <w:sz w:val="24"/>
        </w:rPr>
      </w:pPr>
      <w:r>
        <w:rPr>
          <w:rFonts w:ascii="Times New Roman" w:hAnsi="Times New Roman"/>
          <w:sz w:val="24"/>
        </w:rPr>
        <w:br w:type="page"/>
      </w:r>
    </w:p>
    <w:p>
      <w:pPr>
        <w:pStyle w:val="P13"/>
        <w:jc w:val="right"/>
        <w:rPr>
          <w:rFonts w:ascii="Times New Roman" w:hAnsi="Times New Roman"/>
        </w:rPr>
      </w:pPr>
      <w:r>
        <w:rPr>
          <w:rFonts w:ascii="Times New Roman" w:hAnsi="Times New Roman"/>
        </w:rPr>
        <w:t>Додаток №1</w:t>
      </w:r>
    </w:p>
    <w:p>
      <w:pPr>
        <w:pStyle w:val="P13"/>
        <w:jc w:val="right"/>
        <w:rPr>
          <w:rFonts w:ascii="Times New Roman" w:hAnsi="Times New Roman"/>
        </w:rPr>
      </w:pPr>
      <w:r>
        <w:rPr>
          <w:rFonts w:ascii="Times New Roman" w:hAnsi="Times New Roman"/>
        </w:rPr>
        <w:t xml:space="preserve"> до Договору №_______</w:t>
      </w:r>
    </w:p>
    <w:p>
      <w:pPr>
        <w:pStyle w:val="P13"/>
        <w:jc w:val="right"/>
        <w:rPr>
          <w:rFonts w:ascii="Times New Roman" w:hAnsi="Times New Roman"/>
        </w:rPr>
      </w:pPr>
      <w:r>
        <w:rPr>
          <w:rFonts w:ascii="Times New Roman" w:hAnsi="Times New Roman"/>
        </w:rPr>
        <w:t>від _____ 2023 р.</w:t>
      </w:r>
    </w:p>
    <w:p>
      <w:pPr>
        <w:jc w:val="center"/>
        <w:rPr>
          <w:rFonts w:ascii="Times New Roman" w:hAnsi="Times New Roman"/>
          <w:b w:val="1"/>
        </w:rPr>
      </w:pPr>
    </w:p>
    <w:p>
      <w:pPr>
        <w:jc w:val="center"/>
        <w:rPr>
          <w:rFonts w:ascii="Times New Roman" w:hAnsi="Times New Roman"/>
          <w:b w:val="1"/>
        </w:rPr>
      </w:pPr>
      <w:r>
        <w:rPr>
          <w:rFonts w:ascii="Times New Roman" w:hAnsi="Times New Roman"/>
          <w:b w:val="1"/>
          <w:sz w:val="24"/>
        </w:rPr>
        <w:t>Специфікація</w:t>
      </w:r>
      <w:r>
        <w:rPr>
          <w:rFonts w:ascii="Times New Roman" w:hAnsi="Times New Roman"/>
          <w:b w:val="1"/>
        </w:rPr>
        <w:t xml:space="preserve"> №1</w:t>
      </w:r>
    </w:p>
    <w:p>
      <w:pPr>
        <w:jc w:val="center"/>
        <w:rPr>
          <w:rFonts w:ascii="Times New Roman" w:hAnsi="Times New Roman"/>
          <w:color w:val="000000"/>
          <w:sz w:val="24"/>
        </w:rPr>
      </w:pPr>
      <w:r>
        <w:rPr>
          <w:rFonts w:ascii="Times New Roman" w:hAnsi="Times New Roman"/>
          <w:sz w:val="24"/>
        </w:rPr>
        <w:t xml:space="preserve">Предмет закупівлі: </w:t>
      </w:r>
      <w:r>
        <w:rPr>
          <w:rFonts w:ascii="Times New Roman" w:hAnsi="Times New Roman"/>
          <w:color w:val="auto"/>
          <w:sz w:val="24"/>
        </w:rPr>
        <w:t xml:space="preserve">42910000-8  Апарати для дистилювання, фільтрування чи ректифікації</w:t>
      </w:r>
    </w:p>
    <w:tbl>
      <w:tblPr>
        <w:tblStyle w:val="T4"/>
        <w:tblW w:w="9918" w:type="dxa"/>
        <w:tblLook w:val="04A0"/>
      </w:tblPr>
      <w:tblGrid/>
      <w:tr>
        <w:tc>
          <w:tcPr>
            <w:tcW w:w="846" w:type="dxa"/>
          </w:tcPr>
          <w:p>
            <w:pPr>
              <w:pStyle w:val="P9"/>
              <w:jc w:val="center"/>
              <w:rPr>
                <w:color w:val="000000"/>
              </w:rPr>
            </w:pPr>
            <w:r>
              <w:rPr>
                <w:color w:val="000000"/>
              </w:rPr>
              <w:t>№ з/п</w:t>
            </w:r>
          </w:p>
        </w:tc>
        <w:tc>
          <w:tcPr>
            <w:tcW w:w="2551" w:type="dxa"/>
          </w:tcPr>
          <w:p>
            <w:pPr>
              <w:pStyle w:val="P9"/>
              <w:jc w:val="center"/>
              <w:rPr>
                <w:color w:val="000000"/>
              </w:rPr>
            </w:pPr>
            <w:r>
              <w:rPr>
                <w:color w:val="000000"/>
              </w:rPr>
              <w:t>Назва товару</w:t>
            </w:r>
          </w:p>
        </w:tc>
        <w:tc>
          <w:tcPr>
            <w:tcW w:w="1557" w:type="dxa"/>
          </w:tcPr>
          <w:p>
            <w:pPr>
              <w:pStyle w:val="P9"/>
              <w:jc w:val="center"/>
              <w:rPr>
                <w:color w:val="000000"/>
              </w:rPr>
            </w:pPr>
            <w:r>
              <w:rPr>
                <w:color w:val="000000"/>
              </w:rPr>
              <w:t>Одиниця виміру</w:t>
            </w:r>
          </w:p>
        </w:tc>
        <w:tc>
          <w:tcPr>
            <w:tcW w:w="1558" w:type="dxa"/>
          </w:tcPr>
          <w:p>
            <w:pPr>
              <w:pStyle w:val="P9"/>
              <w:jc w:val="center"/>
              <w:rPr>
                <w:color w:val="000000"/>
              </w:rPr>
            </w:pPr>
            <w:r>
              <w:rPr>
                <w:color w:val="000000"/>
              </w:rPr>
              <w:t xml:space="preserve">Кількість </w:t>
            </w:r>
          </w:p>
        </w:tc>
        <w:tc>
          <w:tcPr>
            <w:tcW w:w="1558" w:type="dxa"/>
          </w:tcPr>
          <w:p>
            <w:pPr>
              <w:pStyle w:val="P9"/>
              <w:jc w:val="center"/>
              <w:rPr>
                <w:color w:val="000000"/>
              </w:rPr>
            </w:pPr>
            <w:r>
              <w:rPr>
                <w:color w:val="000000"/>
              </w:rPr>
              <w:t>Вартість за одиницю без ПДВ, грн.</w:t>
            </w:r>
          </w:p>
        </w:tc>
        <w:tc>
          <w:tcPr>
            <w:tcW w:w="1848" w:type="dxa"/>
          </w:tcPr>
          <w:p>
            <w:pPr>
              <w:pStyle w:val="P9"/>
              <w:jc w:val="center"/>
              <w:rPr>
                <w:color w:val="000000"/>
              </w:rPr>
            </w:pPr>
            <w:r>
              <w:rPr>
                <w:color w:val="000000"/>
              </w:rPr>
              <w:t>Загальна вартість товару, без ПДВ, грн.</w:t>
            </w:r>
          </w:p>
        </w:tc>
      </w:tr>
      <w:tr>
        <w:tc>
          <w:tcPr>
            <w:tcW w:w="846" w:type="dxa"/>
          </w:tcPr>
          <w:p>
            <w:pPr>
              <w:pStyle w:val="P9"/>
              <w:jc w:val="center"/>
              <w:rPr>
                <w:color w:val="000000"/>
              </w:rPr>
            </w:pPr>
            <w:r>
              <w:rPr>
                <w:color w:val="000000"/>
              </w:rPr>
              <w:t>1</w:t>
            </w:r>
          </w:p>
        </w:tc>
        <w:tc>
          <w:tcPr>
            <w:tcW w:w="2551" w:type="dxa"/>
          </w:tcPr>
          <w:p>
            <w:pPr>
              <w:pStyle w:val="P9"/>
              <w:jc w:val="center"/>
              <w:rPr>
                <w:color w:val="000000"/>
              </w:rPr>
            </w:pPr>
          </w:p>
        </w:tc>
        <w:tc>
          <w:tcPr>
            <w:tcW w:w="1557" w:type="dxa"/>
          </w:tcPr>
          <w:p>
            <w:pPr>
              <w:pStyle w:val="P9"/>
              <w:jc w:val="center"/>
              <w:rPr>
                <w:color w:val="000000"/>
              </w:rPr>
            </w:pPr>
          </w:p>
        </w:tc>
        <w:tc>
          <w:tcPr>
            <w:tcW w:w="1558" w:type="dxa"/>
          </w:tcPr>
          <w:p>
            <w:pPr>
              <w:pStyle w:val="P9"/>
              <w:jc w:val="center"/>
              <w:rPr>
                <w:color w:val="000000"/>
              </w:rPr>
            </w:pPr>
          </w:p>
        </w:tc>
        <w:tc>
          <w:tcPr>
            <w:tcW w:w="1558" w:type="dxa"/>
          </w:tcPr>
          <w:p>
            <w:pPr>
              <w:pStyle w:val="P9"/>
              <w:jc w:val="center"/>
              <w:rPr>
                <w:color w:val="000000"/>
              </w:rPr>
            </w:pPr>
          </w:p>
        </w:tc>
        <w:tc>
          <w:tcPr>
            <w:tcW w:w="1848" w:type="dxa"/>
          </w:tcPr>
          <w:p>
            <w:pPr>
              <w:pStyle w:val="P9"/>
              <w:jc w:val="center"/>
              <w:rPr>
                <w:color w:val="000000"/>
              </w:rPr>
            </w:pPr>
          </w:p>
        </w:tc>
      </w:tr>
      <w:tr>
        <w:tc>
          <w:tcPr>
            <w:tcW w:w="846" w:type="dxa"/>
          </w:tcPr>
          <w:p>
            <w:pPr>
              <w:pStyle w:val="P9"/>
              <w:jc w:val="center"/>
              <w:rPr>
                <w:color w:val="000000"/>
              </w:rPr>
            </w:pPr>
            <w:r>
              <w:rPr>
                <w:color w:val="000000"/>
              </w:rPr>
              <w:t>2</w:t>
            </w:r>
          </w:p>
        </w:tc>
        <w:tc>
          <w:tcPr>
            <w:tcW w:w="2551" w:type="dxa"/>
          </w:tcPr>
          <w:p>
            <w:pPr>
              <w:pStyle w:val="P9"/>
              <w:jc w:val="center"/>
              <w:rPr>
                <w:color w:val="000000"/>
              </w:rPr>
            </w:pPr>
          </w:p>
        </w:tc>
        <w:tc>
          <w:tcPr>
            <w:tcW w:w="1557" w:type="dxa"/>
          </w:tcPr>
          <w:p>
            <w:pPr>
              <w:pStyle w:val="P9"/>
              <w:jc w:val="center"/>
              <w:rPr>
                <w:color w:val="000000"/>
              </w:rPr>
            </w:pPr>
          </w:p>
        </w:tc>
        <w:tc>
          <w:tcPr>
            <w:tcW w:w="1558" w:type="dxa"/>
          </w:tcPr>
          <w:p>
            <w:pPr>
              <w:pStyle w:val="P9"/>
              <w:jc w:val="center"/>
              <w:rPr>
                <w:color w:val="000000"/>
              </w:rPr>
            </w:pPr>
          </w:p>
        </w:tc>
        <w:tc>
          <w:tcPr>
            <w:tcW w:w="1558" w:type="dxa"/>
          </w:tcPr>
          <w:p>
            <w:pPr>
              <w:pStyle w:val="P9"/>
              <w:jc w:val="center"/>
              <w:rPr>
                <w:color w:val="000000"/>
              </w:rPr>
            </w:pPr>
          </w:p>
        </w:tc>
        <w:tc>
          <w:tcPr>
            <w:tcW w:w="1848" w:type="dxa"/>
          </w:tcPr>
          <w:p>
            <w:pPr>
              <w:pStyle w:val="P9"/>
              <w:jc w:val="center"/>
              <w:rPr>
                <w:color w:val="000000"/>
              </w:rPr>
            </w:pPr>
          </w:p>
        </w:tc>
      </w:tr>
      <w:tr>
        <w:tc>
          <w:tcPr>
            <w:tcW w:w="846" w:type="dxa"/>
          </w:tcPr>
          <w:p>
            <w:pPr>
              <w:pStyle w:val="P9"/>
              <w:jc w:val="center"/>
              <w:rPr>
                <w:color w:val="000000"/>
              </w:rPr>
            </w:pPr>
            <w:r>
              <w:rPr>
                <w:color w:val="000000"/>
              </w:rPr>
              <w:t>3…</w:t>
            </w:r>
          </w:p>
        </w:tc>
        <w:tc>
          <w:tcPr>
            <w:tcW w:w="2551" w:type="dxa"/>
          </w:tcPr>
          <w:p>
            <w:pPr>
              <w:pStyle w:val="P9"/>
              <w:jc w:val="center"/>
              <w:rPr>
                <w:color w:val="000000"/>
              </w:rPr>
            </w:pPr>
          </w:p>
        </w:tc>
        <w:tc>
          <w:tcPr>
            <w:tcW w:w="1557" w:type="dxa"/>
          </w:tcPr>
          <w:p>
            <w:pPr>
              <w:pStyle w:val="P9"/>
              <w:jc w:val="center"/>
              <w:rPr>
                <w:color w:val="000000"/>
              </w:rPr>
            </w:pPr>
          </w:p>
        </w:tc>
        <w:tc>
          <w:tcPr>
            <w:tcW w:w="1558" w:type="dxa"/>
          </w:tcPr>
          <w:p>
            <w:pPr>
              <w:pStyle w:val="P9"/>
              <w:jc w:val="center"/>
              <w:rPr>
                <w:color w:val="000000"/>
              </w:rPr>
            </w:pPr>
          </w:p>
        </w:tc>
        <w:tc>
          <w:tcPr>
            <w:tcW w:w="1558" w:type="dxa"/>
          </w:tcPr>
          <w:p>
            <w:pPr>
              <w:pStyle w:val="P9"/>
              <w:jc w:val="center"/>
              <w:rPr>
                <w:color w:val="000000"/>
              </w:rPr>
            </w:pPr>
          </w:p>
        </w:tc>
        <w:tc>
          <w:tcPr>
            <w:tcW w:w="1848" w:type="dxa"/>
          </w:tcPr>
          <w:p>
            <w:pPr>
              <w:pStyle w:val="P9"/>
              <w:jc w:val="center"/>
              <w:rPr>
                <w:color w:val="000000"/>
              </w:rPr>
            </w:pPr>
          </w:p>
        </w:tc>
      </w:tr>
      <w:tr>
        <w:tc>
          <w:tcPr>
            <w:tcW w:w="8070" w:type="dxa"/>
            <w:gridSpan w:val="5"/>
          </w:tcPr>
          <w:p>
            <w:pPr>
              <w:pStyle w:val="P9"/>
              <w:rPr>
                <w:color w:val="000000"/>
              </w:rPr>
            </w:pPr>
            <w:r>
              <w:t>Вартість без ПДВ, грн.</w:t>
            </w:r>
          </w:p>
        </w:tc>
        <w:tc>
          <w:tcPr>
            <w:tcW w:w="1848" w:type="dxa"/>
          </w:tcPr>
          <w:p>
            <w:pPr>
              <w:pStyle w:val="P9"/>
              <w:jc w:val="center"/>
              <w:rPr>
                <w:color w:val="000000"/>
              </w:rPr>
            </w:pPr>
          </w:p>
        </w:tc>
      </w:tr>
      <w:tr>
        <w:tc>
          <w:tcPr>
            <w:tcW w:w="8070" w:type="dxa"/>
            <w:gridSpan w:val="5"/>
          </w:tcPr>
          <w:p>
            <w:pPr>
              <w:pStyle w:val="P9"/>
              <w:rPr>
                <w:color w:val="000000"/>
              </w:rPr>
            </w:pPr>
            <w:r>
              <w:t>Вартість ПДВ, грн.</w:t>
            </w:r>
          </w:p>
        </w:tc>
        <w:tc>
          <w:tcPr>
            <w:tcW w:w="1848" w:type="dxa"/>
          </w:tcPr>
          <w:p>
            <w:pPr>
              <w:pStyle w:val="P9"/>
              <w:jc w:val="center"/>
              <w:rPr>
                <w:color w:val="000000"/>
              </w:rPr>
            </w:pPr>
          </w:p>
        </w:tc>
      </w:tr>
      <w:tr>
        <w:tc>
          <w:tcPr>
            <w:tcW w:w="8070" w:type="dxa"/>
            <w:gridSpan w:val="5"/>
          </w:tcPr>
          <w:p>
            <w:pPr>
              <w:pStyle w:val="P9"/>
              <w:rPr>
                <w:color w:val="000000"/>
              </w:rPr>
            </w:pPr>
            <w:r>
              <w:t>Загальна вартість з ПДВ, грн.</w:t>
            </w:r>
          </w:p>
        </w:tc>
        <w:tc>
          <w:tcPr>
            <w:tcW w:w="1848" w:type="dxa"/>
          </w:tcPr>
          <w:p>
            <w:pPr>
              <w:pStyle w:val="P9"/>
              <w:jc w:val="center"/>
              <w:rPr>
                <w:color w:val="000000"/>
              </w:rPr>
            </w:pPr>
          </w:p>
        </w:tc>
      </w:tr>
    </w:tbl>
    <w:p>
      <w:pPr>
        <w:ind w:firstLine="720"/>
        <w:rPr>
          <w:rFonts w:ascii="Times New Roman" w:hAnsi="Times New Roman"/>
        </w:rPr>
      </w:pPr>
    </w:p>
    <w:p>
      <w:pPr>
        <w:ind w:firstLine="720"/>
        <w:rPr>
          <w:rFonts w:ascii="Times New Roman" w:hAnsi="Times New Roman"/>
        </w:rPr>
      </w:pPr>
      <w:r>
        <w:rPr>
          <w:rFonts w:ascii="Times New Roman" w:hAnsi="Times New Roman"/>
        </w:rPr>
        <w:t>Даний Додаток 1 (Специфікація) є невід’ємною частиною Договору поставки, набирає чинності з моменту підписання її Сторонами.</w:t>
      </w:r>
    </w:p>
    <w:p>
      <w:pPr>
        <w:ind w:firstLine="720"/>
        <w:rPr>
          <w:rFonts w:ascii="Times New Roman" w:hAnsi="Times New Roman"/>
        </w:rPr>
      </w:pPr>
    </w:p>
    <w:p>
      <w:pPr>
        <w:ind w:firstLine="720"/>
        <w:jc w:val="center"/>
        <w:rPr>
          <w:rFonts w:ascii="Times New Roman" w:hAnsi="Times New Roman"/>
        </w:rPr>
      </w:pPr>
      <w:r>
        <w:rPr>
          <w:rFonts w:ascii="Times New Roman" w:hAnsi="Times New Roman"/>
        </w:rPr>
        <w:t>РЕКВИЗИТИ СТОРІН</w:t>
      </w:r>
    </w:p>
    <w:p>
      <w:pPr>
        <w:rPr>
          <w:rFonts w:ascii="Times New Roman" w:hAnsi="Times New Roman"/>
          <w:sz w:val="8"/>
        </w:rPr>
      </w:pPr>
    </w:p>
    <w:tbl>
      <w:tblPr>
        <w:tblW w:w="0" w:type="auto"/>
        <w:tblInd w:w="392" w:type="dxa"/>
        <w:tblLook w:val="01E0"/>
      </w:tblPr>
      <w:tblGrid/>
      <w:tr>
        <w:tc>
          <w:tcPr>
            <w:tcW w:w="4530" w:type="dxa"/>
            <w:hideMark/>
          </w:tcPr>
          <w:p>
            <w:pPr>
              <w:spacing w:lineRule="auto" w:line="276" w:after="0" w:beforeAutospacing="0" w:afterAutospacing="0"/>
              <w:jc w:val="center"/>
              <w:rPr>
                <w:rFonts w:ascii="Times New Roman" w:hAnsi="Times New Roman"/>
              </w:rPr>
            </w:pPr>
            <w:r>
              <w:rPr>
                <w:rFonts w:ascii="Times New Roman" w:hAnsi="Times New Roman"/>
                <w:b w:val="1"/>
              </w:rPr>
              <w:t>ПОКУПЕЦЬ:</w:t>
            </w:r>
          </w:p>
        </w:tc>
        <w:tc>
          <w:tcPr>
            <w:tcW w:w="4433" w:type="dxa"/>
            <w:hideMark/>
          </w:tcPr>
          <w:p>
            <w:pPr>
              <w:spacing w:lineRule="auto" w:line="276" w:after="0" w:beforeAutospacing="0" w:afterAutospacing="0"/>
              <w:jc w:val="center"/>
              <w:rPr>
                <w:rFonts w:ascii="Times New Roman" w:hAnsi="Times New Roman"/>
                <w:b w:val="1"/>
              </w:rPr>
            </w:pPr>
            <w:r>
              <w:rPr>
                <w:rFonts w:ascii="Times New Roman" w:hAnsi="Times New Roman"/>
                <w:b w:val="1"/>
              </w:rPr>
              <w:t>ПРОДАВЕЦЬ:</w:t>
            </w:r>
          </w:p>
        </w:tc>
      </w:tr>
    </w:tbl>
    <w:p>
      <w:pPr>
        <w:pStyle w:val="P13"/>
        <w:jc w:val="right"/>
        <w:rPr>
          <w:rFonts w:ascii="Times New Roman" w:hAnsi="Times New Roman"/>
          <w:sz w:val="24"/>
        </w:rPr>
      </w:pPr>
      <w:r>
        <w:rPr>
          <w:rFonts w:ascii="Times New Roman" w:hAnsi="Times New Roman"/>
          <w:sz w:val="24"/>
        </w:rPr>
        <w:br w:type="page"/>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6803"/>
        <w:jc w:val="right"/>
        <w:rPr>
          <w:rFonts w:ascii="Times New Roman" w:hAnsi="Times New Roman"/>
          <w:sz w:val="24"/>
        </w:rPr>
      </w:pPr>
      <w:r>
        <w:rPr>
          <w:rFonts w:ascii="Times New Roman" w:hAnsi="Times New Roman"/>
          <w:sz w:val="24"/>
        </w:rPr>
        <w:t>Додаток ІV</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6803"/>
        <w:jc w:val="right"/>
        <w:rPr>
          <w:rFonts w:ascii="Times New Roman" w:hAnsi="Times New Roman"/>
          <w:sz w:val="24"/>
        </w:rPr>
      </w:pPr>
    </w:p>
    <w:p>
      <w:pPr>
        <w:pStyle w:val="P9"/>
        <w:jc w:val="center"/>
        <w:rPr>
          <w:b w:val="1"/>
          <w:i w:val="1"/>
          <w:color w:val="000000"/>
        </w:rPr>
      </w:pPr>
      <w:r>
        <w:rPr>
          <w:b w:val="1"/>
          <w:color w:val="000000"/>
        </w:rPr>
        <w:t>ФОРМА “ТЕНДЕРНА ПРОПОЗИЦІЯ”</w:t>
        <w:br w:type="textWrapping"/>
      </w:r>
      <w:r>
        <w:rPr>
          <w:i w:val="1"/>
          <w:color w:val="000000"/>
        </w:rPr>
        <w:t>(форма, яка подається учасником на фірмовому бланку (для юридичних осіб)</w:t>
      </w:r>
    </w:p>
    <w:p>
      <w:pPr>
        <w:pStyle w:val="P9"/>
        <w:jc w:val="both"/>
        <w:rPr>
          <w:color w:val="000000"/>
        </w:rPr>
      </w:pPr>
      <w:r>
        <w:rPr>
          <w:color w:val="000000"/>
        </w:rPr>
        <w:t xml:space="preserve">Ми, (повна назва Учасника/Переможця) надаємо _________________________________________ (повна назва Замовника) свою тендерну пропозицію (комерційну частину) щодо участі у торгах на закупівлю товару – </w:t>
      </w:r>
      <w:r>
        <w:rPr>
          <w:color w:val="auto"/>
        </w:rPr>
        <w:t>Апарати для дистилювання, фільтрування чи ректифікації, що належить Закарпатській регіональній державній лабораторії Держпродспоживслужби ДК 021:2015: 42910000-8</w:t>
      </w:r>
      <w:r>
        <w:rPr>
          <w:color w:val="000000"/>
        </w:rPr>
        <w:t xml:space="preserve"> , згідно з технічними та іншими вимогами Замовника торгів.</w:t>
      </w:r>
    </w:p>
    <w:p>
      <w:pPr>
        <w:pStyle w:val="P9"/>
        <w:jc w:val="both"/>
        <w:rPr>
          <w:color w:val="000000"/>
        </w:rPr>
      </w:pPr>
      <w:r>
        <w:rPr>
          <w:color w:val="000000"/>
        </w:rPr>
        <w:t>Вивчивши тендерну документацію (в тому числі: необхідні технічні, якісні та кількісні характеристики до предмета закупівлі, проект договору, кваліфікаційні критерії та інші вимоги Замовника, що зазначені в цій тендерній документації), ми маємо можливість і погоджуємося виконати вимоги замовника та договору про закупівлю відповідно до норм законодавства України, на умовах, зазначених у тендерній пропозиції, та за наступною ціною (цінами).</w:t>
      </w:r>
    </w:p>
    <w:tbl>
      <w:tblPr>
        <w:tblStyle w:val="T4"/>
        <w:tblW w:w="0" w:type="auto"/>
        <w:tblLook w:val="04A0"/>
      </w:tblPr>
      <w:tblGrid/>
      <w:tr>
        <w:tc>
          <w:tcPr>
            <w:tcW w:w="846" w:type="dxa"/>
          </w:tcPr>
          <w:p>
            <w:pPr>
              <w:pStyle w:val="P9"/>
              <w:jc w:val="center"/>
              <w:rPr>
                <w:color w:val="000000"/>
              </w:rPr>
            </w:pPr>
            <w:r>
              <w:rPr>
                <w:color w:val="000000"/>
              </w:rPr>
              <w:t>№ з/п</w:t>
            </w:r>
          </w:p>
        </w:tc>
        <w:tc>
          <w:tcPr>
            <w:tcW w:w="2551" w:type="dxa"/>
          </w:tcPr>
          <w:p>
            <w:pPr>
              <w:pStyle w:val="P9"/>
              <w:jc w:val="center"/>
              <w:rPr>
                <w:color w:val="000000"/>
              </w:rPr>
            </w:pPr>
            <w:r>
              <w:rPr>
                <w:color w:val="000000"/>
              </w:rPr>
              <w:t>Назва товару</w:t>
            </w:r>
          </w:p>
        </w:tc>
        <w:tc>
          <w:tcPr>
            <w:tcW w:w="1557" w:type="dxa"/>
          </w:tcPr>
          <w:p>
            <w:pPr>
              <w:pStyle w:val="P9"/>
              <w:jc w:val="center"/>
              <w:rPr>
                <w:color w:val="000000"/>
              </w:rPr>
            </w:pPr>
            <w:r>
              <w:rPr>
                <w:color w:val="000000"/>
              </w:rPr>
              <w:t>Одиниця виміру</w:t>
            </w:r>
          </w:p>
        </w:tc>
        <w:tc>
          <w:tcPr>
            <w:tcW w:w="1558" w:type="dxa"/>
          </w:tcPr>
          <w:p>
            <w:pPr>
              <w:pStyle w:val="P9"/>
              <w:jc w:val="center"/>
              <w:rPr>
                <w:color w:val="000000"/>
              </w:rPr>
            </w:pPr>
            <w:r>
              <w:rPr>
                <w:color w:val="000000"/>
              </w:rPr>
              <w:t>Кількість товару</w:t>
            </w:r>
          </w:p>
        </w:tc>
        <w:tc>
          <w:tcPr>
            <w:tcW w:w="1558" w:type="dxa"/>
          </w:tcPr>
          <w:p>
            <w:pPr>
              <w:pStyle w:val="P9"/>
              <w:jc w:val="center"/>
              <w:rPr>
                <w:color w:val="000000"/>
              </w:rPr>
            </w:pPr>
            <w:r>
              <w:rPr>
                <w:color w:val="000000"/>
              </w:rPr>
              <w:t>Вартість за одиницю без ПДВ, грн.</w:t>
            </w:r>
          </w:p>
        </w:tc>
        <w:tc>
          <w:tcPr>
            <w:tcW w:w="1558" w:type="dxa"/>
          </w:tcPr>
          <w:p>
            <w:pPr>
              <w:pStyle w:val="P9"/>
              <w:jc w:val="center"/>
              <w:rPr>
                <w:color w:val="000000"/>
              </w:rPr>
            </w:pPr>
            <w:r>
              <w:rPr>
                <w:color w:val="000000"/>
              </w:rPr>
              <w:t>Загальна вартість товару, без ПДВ, грн.</w:t>
            </w:r>
          </w:p>
        </w:tc>
      </w:tr>
      <w:tr>
        <w:tc>
          <w:tcPr>
            <w:tcW w:w="846" w:type="dxa"/>
          </w:tcPr>
          <w:p>
            <w:pPr>
              <w:pStyle w:val="P9"/>
              <w:jc w:val="center"/>
              <w:rPr>
                <w:color w:val="000000"/>
              </w:rPr>
            </w:pPr>
            <w:r>
              <w:rPr>
                <w:color w:val="000000"/>
              </w:rPr>
              <w:t>1</w:t>
            </w:r>
          </w:p>
        </w:tc>
        <w:tc>
          <w:tcPr>
            <w:tcW w:w="2551" w:type="dxa"/>
          </w:tcPr>
          <w:p>
            <w:pPr>
              <w:pStyle w:val="P9"/>
              <w:jc w:val="center"/>
              <w:rPr>
                <w:color w:val="000000"/>
              </w:rPr>
            </w:pPr>
          </w:p>
        </w:tc>
        <w:tc>
          <w:tcPr>
            <w:tcW w:w="1557" w:type="dxa"/>
          </w:tcPr>
          <w:p>
            <w:pPr>
              <w:pStyle w:val="P9"/>
              <w:jc w:val="center"/>
              <w:rPr>
                <w:color w:val="000000"/>
              </w:rPr>
            </w:pPr>
          </w:p>
        </w:tc>
        <w:tc>
          <w:tcPr>
            <w:tcW w:w="1558" w:type="dxa"/>
          </w:tcPr>
          <w:p>
            <w:pPr>
              <w:pStyle w:val="P9"/>
              <w:jc w:val="center"/>
              <w:rPr>
                <w:color w:val="000000"/>
              </w:rPr>
            </w:pPr>
          </w:p>
        </w:tc>
        <w:tc>
          <w:tcPr>
            <w:tcW w:w="1558" w:type="dxa"/>
          </w:tcPr>
          <w:p>
            <w:pPr>
              <w:pStyle w:val="P9"/>
              <w:jc w:val="center"/>
              <w:rPr>
                <w:color w:val="000000"/>
              </w:rPr>
            </w:pPr>
          </w:p>
        </w:tc>
        <w:tc>
          <w:tcPr>
            <w:tcW w:w="1558" w:type="dxa"/>
          </w:tcPr>
          <w:p>
            <w:pPr>
              <w:pStyle w:val="P9"/>
              <w:jc w:val="center"/>
              <w:rPr>
                <w:color w:val="000000"/>
              </w:rPr>
            </w:pPr>
          </w:p>
        </w:tc>
      </w:tr>
      <w:tr>
        <w:tc>
          <w:tcPr>
            <w:tcW w:w="846" w:type="dxa"/>
          </w:tcPr>
          <w:p>
            <w:pPr>
              <w:pStyle w:val="P9"/>
              <w:jc w:val="center"/>
              <w:rPr>
                <w:color w:val="000000"/>
              </w:rPr>
            </w:pPr>
            <w:r>
              <w:rPr>
                <w:color w:val="000000"/>
              </w:rPr>
              <w:t>2</w:t>
            </w:r>
          </w:p>
        </w:tc>
        <w:tc>
          <w:tcPr>
            <w:tcW w:w="2551" w:type="dxa"/>
          </w:tcPr>
          <w:p>
            <w:pPr>
              <w:pStyle w:val="P9"/>
              <w:jc w:val="center"/>
              <w:rPr>
                <w:color w:val="000000"/>
              </w:rPr>
            </w:pPr>
          </w:p>
        </w:tc>
        <w:tc>
          <w:tcPr>
            <w:tcW w:w="1557" w:type="dxa"/>
          </w:tcPr>
          <w:p>
            <w:pPr>
              <w:pStyle w:val="P9"/>
              <w:jc w:val="center"/>
              <w:rPr>
                <w:color w:val="000000"/>
              </w:rPr>
            </w:pPr>
          </w:p>
        </w:tc>
        <w:tc>
          <w:tcPr>
            <w:tcW w:w="1558" w:type="dxa"/>
          </w:tcPr>
          <w:p>
            <w:pPr>
              <w:pStyle w:val="P9"/>
              <w:jc w:val="center"/>
              <w:rPr>
                <w:color w:val="000000"/>
              </w:rPr>
            </w:pPr>
          </w:p>
        </w:tc>
        <w:tc>
          <w:tcPr>
            <w:tcW w:w="1558" w:type="dxa"/>
          </w:tcPr>
          <w:p>
            <w:pPr>
              <w:pStyle w:val="P9"/>
              <w:jc w:val="center"/>
              <w:rPr>
                <w:color w:val="000000"/>
              </w:rPr>
            </w:pPr>
          </w:p>
        </w:tc>
        <w:tc>
          <w:tcPr>
            <w:tcW w:w="1558" w:type="dxa"/>
          </w:tcPr>
          <w:p>
            <w:pPr>
              <w:pStyle w:val="P9"/>
              <w:jc w:val="center"/>
              <w:rPr>
                <w:color w:val="000000"/>
              </w:rPr>
            </w:pPr>
          </w:p>
        </w:tc>
      </w:tr>
      <w:tr>
        <w:tc>
          <w:tcPr>
            <w:tcW w:w="846" w:type="dxa"/>
          </w:tcPr>
          <w:p>
            <w:pPr>
              <w:pStyle w:val="P9"/>
              <w:jc w:val="center"/>
              <w:rPr>
                <w:color w:val="000000"/>
              </w:rPr>
            </w:pPr>
            <w:r>
              <w:rPr>
                <w:color w:val="000000"/>
              </w:rPr>
              <w:t>3</w:t>
            </w:r>
          </w:p>
        </w:tc>
        <w:tc>
          <w:tcPr>
            <w:tcW w:w="2551" w:type="dxa"/>
          </w:tcPr>
          <w:p>
            <w:pPr>
              <w:pStyle w:val="P9"/>
              <w:jc w:val="center"/>
              <w:rPr>
                <w:color w:val="000000"/>
              </w:rPr>
            </w:pPr>
          </w:p>
        </w:tc>
        <w:tc>
          <w:tcPr>
            <w:tcW w:w="1557" w:type="dxa"/>
          </w:tcPr>
          <w:p>
            <w:pPr>
              <w:pStyle w:val="P9"/>
              <w:jc w:val="center"/>
              <w:rPr>
                <w:color w:val="000000"/>
              </w:rPr>
            </w:pPr>
          </w:p>
        </w:tc>
        <w:tc>
          <w:tcPr>
            <w:tcW w:w="1558" w:type="dxa"/>
          </w:tcPr>
          <w:p>
            <w:pPr>
              <w:pStyle w:val="P9"/>
              <w:jc w:val="center"/>
              <w:rPr>
                <w:color w:val="000000"/>
              </w:rPr>
            </w:pPr>
          </w:p>
        </w:tc>
        <w:tc>
          <w:tcPr>
            <w:tcW w:w="1558" w:type="dxa"/>
          </w:tcPr>
          <w:p>
            <w:pPr>
              <w:pStyle w:val="P9"/>
              <w:jc w:val="center"/>
              <w:rPr>
                <w:color w:val="000000"/>
              </w:rPr>
            </w:pPr>
          </w:p>
        </w:tc>
        <w:tc>
          <w:tcPr>
            <w:tcW w:w="1558" w:type="dxa"/>
          </w:tcPr>
          <w:p>
            <w:pPr>
              <w:pStyle w:val="P9"/>
              <w:jc w:val="center"/>
              <w:rPr>
                <w:color w:val="000000"/>
              </w:rPr>
            </w:pPr>
          </w:p>
        </w:tc>
      </w:tr>
      <w:tr>
        <w:tc>
          <w:tcPr>
            <w:tcW w:w="8070" w:type="dxa"/>
            <w:gridSpan w:val="5"/>
          </w:tcPr>
          <w:p>
            <w:pPr>
              <w:pStyle w:val="P9"/>
              <w:rPr>
                <w:color w:val="000000"/>
              </w:rPr>
            </w:pPr>
            <w:r>
              <w:t>Вартість без ПДВ, грн.</w:t>
            </w:r>
          </w:p>
        </w:tc>
        <w:tc>
          <w:tcPr>
            <w:tcW w:w="1558" w:type="dxa"/>
          </w:tcPr>
          <w:p>
            <w:pPr>
              <w:pStyle w:val="P9"/>
              <w:jc w:val="center"/>
              <w:rPr>
                <w:color w:val="000000"/>
              </w:rPr>
            </w:pPr>
          </w:p>
        </w:tc>
      </w:tr>
      <w:tr>
        <w:tc>
          <w:tcPr>
            <w:tcW w:w="8070" w:type="dxa"/>
            <w:gridSpan w:val="5"/>
          </w:tcPr>
          <w:p>
            <w:pPr>
              <w:pStyle w:val="P9"/>
              <w:rPr>
                <w:color w:val="000000"/>
              </w:rPr>
            </w:pPr>
            <w:r>
              <w:t>Вартість ПДВ, грн.</w:t>
            </w:r>
          </w:p>
        </w:tc>
        <w:tc>
          <w:tcPr>
            <w:tcW w:w="1558" w:type="dxa"/>
          </w:tcPr>
          <w:p>
            <w:pPr>
              <w:pStyle w:val="P9"/>
              <w:jc w:val="center"/>
              <w:rPr>
                <w:color w:val="000000"/>
              </w:rPr>
            </w:pPr>
          </w:p>
        </w:tc>
      </w:tr>
      <w:tr>
        <w:tc>
          <w:tcPr>
            <w:tcW w:w="8070" w:type="dxa"/>
            <w:gridSpan w:val="5"/>
          </w:tcPr>
          <w:p>
            <w:pPr>
              <w:pStyle w:val="P9"/>
              <w:rPr>
                <w:color w:val="000000"/>
              </w:rPr>
            </w:pPr>
            <w:r>
              <w:t>Загальна вартість з ПДВ, грн.</w:t>
            </w:r>
          </w:p>
        </w:tc>
        <w:tc>
          <w:tcPr>
            <w:tcW w:w="1558" w:type="dxa"/>
          </w:tcPr>
          <w:p>
            <w:pPr>
              <w:pStyle w:val="P9"/>
              <w:jc w:val="center"/>
              <w:rPr>
                <w:color w:val="000000"/>
              </w:rPr>
            </w:pPr>
          </w:p>
        </w:tc>
      </w:tr>
    </w:tbl>
    <w:p>
      <w:pPr>
        <w:ind w:firstLine="567"/>
        <w:jc w:val="both"/>
        <w:rPr>
          <w:rFonts w:ascii="Times New Roman" w:hAnsi="Times New Roman"/>
          <w:i w:val="1"/>
        </w:rPr>
      </w:pPr>
      <w:r>
        <w:rPr>
          <w:rFonts w:ascii="Times New Roman" w:hAnsi="Times New Roman"/>
          <w:i w:val="1"/>
        </w:rPr>
        <w:t xml:space="preserve">У разі надання пропозиції учасником — не платником ПДВ, такі пропозиції надаються без врахування ПДВ,  учасником зазначається «без ПДВ»</w:t>
      </w:r>
    </w:p>
    <w:p>
      <w:pPr>
        <w:shd w:val="clear" w:fill="FFFFFD"/>
        <w:jc w:val="both"/>
        <w:rPr>
          <w:rFonts w:ascii="Times New Roman" w:hAnsi="Times New Roman"/>
          <w:b w:val="1"/>
          <w:i w:val="1"/>
          <w:color w:val="000000"/>
          <w:sz w:val="20"/>
        </w:rPr>
      </w:pPr>
      <w:r>
        <w:rPr>
          <w:rFonts w:ascii="Times New Roman" w:hAnsi="Times New Roman"/>
          <w:b w:val="1"/>
          <w:i w:val="1"/>
          <w:color w:val="000000"/>
          <w:sz w:val="20"/>
          <w:u w:val="single"/>
        </w:rPr>
        <w:t>Примітки:</w:t>
      </w:r>
      <w:r>
        <w:rPr>
          <w:rFonts w:ascii="Times New Roman" w:hAnsi="Times New Roman"/>
          <w:b w:val="1"/>
          <w:i w:val="1"/>
          <w:color w:val="000000"/>
          <w:sz w:val="20"/>
        </w:rPr>
        <w:t xml:space="preserve"> </w:t>
      </w:r>
    </w:p>
    <w:p>
      <w:pPr>
        <w:shd w:val="clear" w:fill="FFFFFD"/>
        <w:ind w:firstLine="284"/>
        <w:jc w:val="both"/>
        <w:rPr>
          <w:rFonts w:ascii="Times New Roman" w:hAnsi="Times New Roman"/>
          <w:b w:val="1"/>
          <w:color w:val="000000"/>
          <w:sz w:val="20"/>
        </w:rPr>
      </w:pPr>
      <w:r>
        <w:rPr>
          <w:rFonts w:ascii="Times New Roman" w:hAnsi="Times New Roman"/>
          <w:b w:val="1"/>
          <w:color w:val="000000"/>
          <w:sz w:val="20"/>
        </w:rPr>
        <w:t>1. Ціна за одиницю (без та з ПДВ) та загальна вартість повинні бути вказані з двома десятковими знаками після коми.</w:t>
      </w:r>
    </w:p>
    <w:p>
      <w:pPr>
        <w:ind w:firstLine="284"/>
        <w:rPr>
          <w:rFonts w:ascii="Times New Roman" w:hAnsi="Times New Roman"/>
          <w:sz w:val="10"/>
        </w:rPr>
      </w:pPr>
      <w:r>
        <w:rPr>
          <w:rFonts w:ascii="Times New Roman" w:hAnsi="Times New Roman"/>
          <w:b w:val="1"/>
          <w:color w:val="000000"/>
          <w:sz w:val="20"/>
        </w:rPr>
        <w:t xml:space="preserve">2. Загальна вартість (без та з ПДВ)  повинна бути вказана цифрами та прописом.</w:t>
      </w:r>
    </w:p>
    <w:p>
      <w:pPr>
        <w:ind w:firstLine="426"/>
        <w:jc w:val="both"/>
        <w:rPr>
          <w:rFonts w:ascii="Times New Roman" w:hAnsi="Times New Roman"/>
          <w:color w:val="000000"/>
        </w:rPr>
      </w:pPr>
      <w:r>
        <w:rPr>
          <w:rFonts w:ascii="Times New Roman" w:hAnsi="Times New Roman"/>
          <w:color w:val="000000"/>
        </w:rPr>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pPr>
        <w:tabs>
          <w:tab w:val="left" w:pos="0" w:leader="none"/>
        </w:tabs>
        <w:ind w:firstLine="426"/>
        <w:jc w:val="both"/>
        <w:rPr>
          <w:rFonts w:ascii="Times New Roman" w:hAnsi="Times New Roman"/>
          <w:color w:val="000000"/>
        </w:rPr>
      </w:pPr>
      <w:r>
        <w:rPr>
          <w:rFonts w:ascii="Times New Roman" w:hAnsi="Times New Roman"/>
          <w:color w:val="000000"/>
        </w:rPr>
        <w:t xml:space="preserve">2. Ми погоджуємося дотримуватися умов цієї пропозиції протягом 120 </w:t>
      </w:r>
      <w:r>
        <w:rPr>
          <w:rFonts w:ascii="Times New Roman" w:hAnsi="Times New Roman"/>
          <w:color w:val="000000"/>
        </w:rPr>
        <w:t xml:space="preserve">робочих </w:t>
      </w:r>
      <w:r>
        <w:rPr>
          <w:rFonts w:ascii="Times New Roman" w:hAnsi="Times New Roman"/>
          <w:color w:val="000000"/>
        </w:rPr>
        <w:t xml:space="preserve">днів </w:t>
      </w:r>
      <w:r>
        <w:rPr>
          <w:rFonts w:ascii="Times New Roman" w:hAnsi="Times New Roman"/>
          <w:color w:val="000000"/>
        </w:rPr>
        <w:t xml:space="preserve">із дати </w:t>
      </w:r>
      <w:r>
        <w:rPr>
          <w:rFonts w:ascii="Times New Roman" w:hAnsi="Times New Roman"/>
          <w:color w:val="000000"/>
        </w:rPr>
        <w:t>кінцевого строку подання тендерних пропозицій</w:t>
      </w:r>
      <w:r>
        <w:rPr>
          <w:rFonts w:ascii="Times New Roman" w:hAnsi="Times New Roman"/>
          <w:color w:val="000000"/>
        </w:rPr>
        <w:t>.</w:t>
      </w:r>
    </w:p>
    <w:p>
      <w:pPr>
        <w:ind w:firstLine="426"/>
        <w:jc w:val="both"/>
        <w:rPr>
          <w:rFonts w:ascii="Times New Roman" w:hAnsi="Times New Roman"/>
          <w:color w:val="000000"/>
        </w:rPr>
      </w:pPr>
      <w:r>
        <w:rPr>
          <w:rFonts w:ascii="Times New Roman" w:hAnsi="Times New Roman"/>
          <w:color w:val="00000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pPr>
        <w:ind w:firstLine="426"/>
        <w:jc w:val="both"/>
        <w:rPr>
          <w:rFonts w:ascii="Times New Roman" w:hAnsi="Times New Roman"/>
          <w:color w:val="000000"/>
        </w:rPr>
      </w:pPr>
      <w:r>
        <w:rPr>
          <w:rFonts w:ascii="Times New Roman" w:hAnsi="Times New Roman"/>
          <w:color w:val="000000"/>
        </w:rPr>
        <w:t>4. Ми розуміємо та погоджуємося, що процедура закупівлі може бути відмінена у разі наявності обставин для цього згідно із Законом.</w:t>
      </w:r>
    </w:p>
    <w:p>
      <w:pPr>
        <w:ind w:firstLine="426"/>
        <w:jc w:val="both"/>
        <w:rPr>
          <w:rFonts w:ascii="Times New Roman" w:hAnsi="Times New Roman"/>
          <w:color w:val="000000"/>
        </w:rPr>
      </w:pPr>
      <w:r>
        <w:rPr>
          <w:rFonts w:ascii="Times New Roman" w:hAnsi="Times New Roman"/>
          <w:color w:val="000000"/>
        </w:rPr>
        <w:t>5. Якщо наша пропозиція буде визнана найбільш економічно вигідною та визнання нас переможцем торгів, ми зобов'язуємося підписати Договір із Замовником не пізніше ніж через 15 днів з дня прийняття рішення про намір укласти договір про закупівлю.</w:t>
      </w:r>
    </w:p>
    <w:p>
      <w:pPr>
        <w:ind w:firstLine="426"/>
        <w:jc w:val="both"/>
        <w:rPr>
          <w:rFonts w:ascii="Times New Roman" w:hAnsi="Times New Roman"/>
          <w:color w:val="000000"/>
        </w:rPr>
      </w:pPr>
      <w:r>
        <w:rPr>
          <w:rFonts w:ascii="Times New Roman" w:hAnsi="Times New Roman"/>
        </w:rPr>
        <w:t>(</w:t>
      </w:r>
      <w:r>
        <w:rPr>
          <w:rFonts w:ascii="Times New Roman" w:hAnsi="Times New Roman"/>
          <w:color w:val="000000"/>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pPr>
        <w:ind w:firstLine="426"/>
        <w:jc w:val="both"/>
        <w:rPr>
          <w:rFonts w:ascii="Times New Roman" w:hAnsi="Times New Roman"/>
          <w:color w:val="000000"/>
          <w:sz w:val="16"/>
        </w:rPr>
      </w:pPr>
    </w:p>
    <w:p>
      <w:pPr>
        <w:pBdr>
          <w:top w:val="none" w:sz="0" w:space="0" w:shadow="0" w:frame="0" w:color="auto"/>
          <w:left w:val="none" w:sz="0" w:space="0" w:shadow="0" w:frame="0" w:color="auto"/>
          <w:bottom w:val="single" w:sz="4" w:space="1" w:shadow="0" w:frame="0" w:color="000000"/>
          <w:right w:val="none" w:sz="0" w:space="0" w:shadow="0" w:frame="0" w:color="auto"/>
        </w:pBdr>
        <w:jc w:val="center"/>
        <w:rPr>
          <w:rFonts w:ascii="Times New Roman" w:hAnsi="Times New Roman"/>
          <w:b w:val="1"/>
          <w:i w:val="1"/>
          <w:color w:val="000000"/>
        </w:rPr>
      </w:pPr>
      <w:r>
        <w:rPr>
          <w:rFonts w:ascii="Times New Roman" w:hAnsi="Times New Roman"/>
          <w:b w:val="1"/>
          <w:i w:val="1"/>
          <w:color w:val="000000"/>
        </w:rPr>
        <w:t xml:space="preserve">Посада, прізвище, ініціали, підпис уповноваженої особи Учасника, </w:t>
      </w:r>
    </w:p>
    <w:p>
      <w:pPr>
        <w:pBdr>
          <w:top w:val="none" w:sz="0" w:space="0" w:shadow="0" w:frame="0" w:color="auto"/>
          <w:left w:val="none" w:sz="0" w:space="0" w:shadow="0" w:frame="0" w:color="auto"/>
          <w:bottom w:val="single" w:sz="4" w:space="1" w:shadow="0" w:frame="0" w:color="000000"/>
          <w:right w:val="none" w:sz="0" w:space="0" w:shadow="0" w:frame="0" w:color="auto"/>
        </w:pBdr>
        <w:jc w:val="center"/>
        <w:rPr>
          <w:rFonts w:ascii="Times New Roman" w:hAnsi="Times New Roman"/>
          <w:b w:val="1"/>
          <w:i w:val="1"/>
          <w:color w:val="000000"/>
        </w:rPr>
      </w:pPr>
      <w:r>
        <w:rPr>
          <w:rFonts w:ascii="Times New Roman" w:hAnsi="Times New Roman"/>
          <w:b w:val="1"/>
          <w:i w:val="1"/>
          <w:color w:val="000000"/>
        </w:rPr>
        <w:t>завірені печаткою Учасника (в разі її використання)</w:t>
      </w:r>
    </w:p>
    <w:p>
      <w:pPr>
        <w:pBdr>
          <w:top w:val="single" w:sz="4" w:space="1" w:shadow="0" w:frame="0" w:color="000000"/>
          <w:left w:val="none" w:sz="0" w:space="0" w:shadow="0" w:frame="0" w:color="auto"/>
          <w:bottom w:val="single" w:sz="4" w:space="9" w:shadow="0" w:frame="0" w:color="000000"/>
          <w:right w:val="none" w:sz="0" w:space="0" w:shadow="0" w:frame="0" w:color="auto"/>
        </w:pBdr>
        <w:tabs>
          <w:tab w:val="left" w:pos="1080" w:leader="none"/>
          <w:tab w:val="center" w:pos="5457" w:leader="none"/>
          <w:tab w:val="right" w:pos="10915" w:leader="none"/>
        </w:tabs>
        <w:jc w:val="center"/>
        <w:rPr>
          <w:rFonts w:ascii="Times New Roman" w:hAnsi="Times New Roman"/>
          <w:i w:val="1"/>
          <w:color w:val="000000"/>
          <w:sz w:val="16"/>
        </w:rPr>
      </w:pPr>
      <w:r>
        <w:rPr>
          <w:rFonts w:ascii="Times New Roman" w:hAnsi="Times New Roman"/>
          <w:color w:val="000000"/>
          <w:sz w:val="16"/>
        </w:rPr>
        <w:t xml:space="preserve">*  </w:t>
      </w:r>
      <w:r>
        <w:rPr>
          <w:rFonts w:ascii="Times New Roman" w:hAnsi="Times New Roman"/>
          <w:i w:val="1"/>
          <w:color w:val="000000"/>
          <w:sz w:val="16"/>
        </w:rPr>
        <w:t>Тендерна пропозиція (комерційна частина) подається Учасником (завантажується в Систему) до кінцевого строку подання тендерних</w:t>
      </w:r>
    </w:p>
    <w:p>
      <w:pPr>
        <w:pBdr>
          <w:top w:val="nil" w:sz="0" w:space="0" w:shadow="0" w:frame="0" w:color="auto"/>
          <w:left w:val="nil" w:sz="0" w:space="0" w:shadow="0" w:frame="0" w:color="auto"/>
          <w:bottom w:val="nil" w:sz="0" w:space="0" w:shadow="0" w:frame="0" w:color="auto"/>
          <w:right w:val="nil" w:sz="0" w:space="0" w:shadow="0" w:frame="0" w:color="auto"/>
        </w:pBdr>
        <w:tabs>
          <w:tab w:val="left" w:pos="6787" w:leader="none"/>
        </w:tabs>
        <w:spacing w:lineRule="auto" w:line="240" w:after="0" w:beforeAutospacing="0" w:afterAutospacing="0"/>
        <w:rPr>
          <w:rFonts w:ascii="Times New Roman" w:hAnsi="Times New Roman"/>
          <w:sz w:val="24"/>
        </w:rPr>
      </w:pPr>
      <w:r>
        <w:rPr>
          <w:rFonts w:ascii="Times New Roman" w:hAnsi="Times New Roman"/>
        </w:rPr>
        <w:tab/>
      </w:r>
    </w:p>
    <w:sectPr>
      <w:type w:val="nextPage"/>
      <w:pgSz w:w="11906" w:h="16838" w:code="9"/>
      <w:pgMar w:left="1417" w:right="850" w:top="850" w:bottom="850" w:header="708" w:footer="708" w:gutter="0"/>
      <w:pgNumType w:start="1" w:chapSep="period"/>
      <w:cols w:equalWidth="1" w:space="720"/>
    </w:sectPr>
  </w:body>
</w:document>
</file>

<file path=word/numbering.xml><?xml version="1.0" encoding="utf-8"?>
<w:numbering xmlns:w="http://schemas.openxmlformats.org/wordprocessingml/2006/main">
  <w:abstractNum w:abstractNumId="0">
    <w:nsid w:val="2AB64EA3"/>
    <w:multiLevelType w:val="multilevel"/>
    <w:lvl w:ilvl="0">
      <w:start w:val="1"/>
      <w:numFmt w:val="decimal"/>
      <w:pStyle w:val="P11"/>
      <w:suff w:val="tab"/>
      <w:lvlText w:val="%1."/>
      <w:lvlJc w:val="left"/>
      <w:pPr>
        <w:ind w:hanging="360" w:left="720"/>
      </w:pPr>
      <w:rPr/>
    </w:lvl>
    <w:lvl w:ilvl="1">
      <w:start w:val="1"/>
      <w:numFmt w:val="lowerLetter"/>
      <w:pStyle w:val="P12"/>
      <w:suff w:val="tab"/>
      <w:lvlText w:val="%2."/>
      <w:lvlJc w:val="left"/>
      <w:pPr>
        <w:ind w:hanging="360" w:left="1440"/>
      </w:pPr>
      <w:rPr/>
    </w:lvl>
    <w:lvl w:ilvl="2">
      <w:start w:val="1"/>
      <w:numFmt w:val="lowerRoman"/>
      <w:suff w:val="tab"/>
      <w:lvlText w:val="%2.%3."/>
      <w:lvlJc w:val="right"/>
      <w:pPr>
        <w:ind w:hanging="180" w:left="2160"/>
      </w:pPr>
      <w:rPr/>
    </w:lvl>
    <w:lvl w:ilvl="3">
      <w:start w:val="1"/>
      <w:numFmt w:val="decimal"/>
      <w:suff w:val="tab"/>
      <w:lvlText w:val="%2.%3.%4."/>
      <w:lvlJc w:val="left"/>
      <w:pPr>
        <w:ind w:hanging="360" w:left="2880"/>
      </w:pPr>
      <w:rPr/>
    </w:lvl>
    <w:lvl w:ilvl="4">
      <w:start w:val="1"/>
      <w:numFmt w:val="lowerLetter"/>
      <w:suff w:val="tab"/>
      <w:lvlText w:val="%2.%3.%4.%5."/>
      <w:lvlJc w:val="left"/>
      <w:pPr>
        <w:ind w:hanging="360" w:left="3600"/>
      </w:pPr>
      <w:rPr/>
    </w:lvl>
    <w:lvl w:ilvl="5">
      <w:start w:val="1"/>
      <w:numFmt w:val="lowerRoman"/>
      <w:suff w:val="tab"/>
      <w:lvlText w:val="%2.%3.%4.%5.%6."/>
      <w:lvlJc w:val="right"/>
      <w:pPr>
        <w:ind w:hanging="180" w:left="4320"/>
      </w:pPr>
      <w:rPr/>
    </w:lvl>
    <w:lvl w:ilvl="6">
      <w:start w:val="1"/>
      <w:numFmt w:val="decimal"/>
      <w:suff w:val="tab"/>
      <w:lvlText w:val="%2.%3.%4.%5.%6.%7."/>
      <w:lvlJc w:val="left"/>
      <w:pPr>
        <w:ind w:hanging="360" w:left="5040"/>
      </w:pPr>
      <w:rPr/>
    </w:lvl>
    <w:lvl w:ilvl="7">
      <w:start w:val="1"/>
      <w:numFmt w:val="lowerLetter"/>
      <w:suff w:val="tab"/>
      <w:lvlText w:val="%2.%3.%4.%5.%6.%7.%8."/>
      <w:lvlJc w:val="left"/>
      <w:pPr>
        <w:ind w:hanging="360" w:left="5760"/>
      </w:pPr>
      <w:rPr/>
    </w:lvl>
    <w:lvl w:ilvl="8">
      <w:start w:val="1"/>
      <w:numFmt w:val="lowerRoman"/>
      <w:suff w:val="tab"/>
      <w:lvlText w:val="%2.%3.%4.%5.%6.%7.%8.%9."/>
      <w:lvlJc w:val="right"/>
      <w:pPr>
        <w:ind w:hanging="180" w:left="6480"/>
      </w:pPr>
      <w:rPr/>
    </w:lvl>
  </w:abstractNum>
  <w:abstractNum w:abstractNumId="1">
    <w:nsid w:val="2C1C6DD3"/>
    <w:multiLevelType w:val="hybridMultilevel"/>
    <w:lvl w:ilvl="0" w:tplc="0422000F">
      <w:start w:val="1"/>
      <w:numFmt w:val="decimal"/>
      <w:suff w:val="tab"/>
      <w:lvlText w:val="%1."/>
      <w:lvlJc w:val="left"/>
      <w:pPr>
        <w:ind w:hanging="360" w:left="720"/>
      </w:pPr>
      <w:rPr/>
    </w:lvl>
    <w:lvl w:ilvl="1" w:tplc="04220019">
      <w:start w:val="1"/>
      <w:numFmt w:val="lowerLetter"/>
      <w:suff w:val="tab"/>
      <w:lvlText w:val="%2."/>
      <w:lvlJc w:val="left"/>
      <w:pPr>
        <w:ind w:hanging="360" w:left="1440"/>
      </w:pPr>
      <w:rPr/>
    </w:lvl>
    <w:lvl w:ilvl="2" w:tplc="0422001B">
      <w:start w:val="1"/>
      <w:numFmt w:val="lowerRoman"/>
      <w:suff w:val="tab"/>
      <w:lvlText w:val="%3."/>
      <w:lvlJc w:val="right"/>
      <w:pPr>
        <w:ind w:hanging="180" w:left="2160"/>
      </w:pPr>
      <w:rPr/>
    </w:lvl>
    <w:lvl w:ilvl="3" w:tplc="0422000F">
      <w:start w:val="1"/>
      <w:numFmt w:val="decimal"/>
      <w:suff w:val="tab"/>
      <w:lvlText w:val="%4."/>
      <w:lvlJc w:val="left"/>
      <w:pPr>
        <w:ind w:hanging="360" w:left="2880"/>
      </w:pPr>
      <w:rPr/>
    </w:lvl>
    <w:lvl w:ilvl="4" w:tplc="04220019">
      <w:start w:val="1"/>
      <w:numFmt w:val="lowerLetter"/>
      <w:suff w:val="tab"/>
      <w:lvlText w:val="%5."/>
      <w:lvlJc w:val="left"/>
      <w:pPr>
        <w:ind w:hanging="360" w:left="3600"/>
      </w:pPr>
      <w:rPr/>
    </w:lvl>
    <w:lvl w:ilvl="5" w:tplc="0422001B">
      <w:start w:val="1"/>
      <w:numFmt w:val="lowerRoman"/>
      <w:suff w:val="tab"/>
      <w:lvlText w:val="%6."/>
      <w:lvlJc w:val="right"/>
      <w:pPr>
        <w:ind w:hanging="180" w:left="4320"/>
      </w:pPr>
      <w:rPr/>
    </w:lvl>
    <w:lvl w:ilvl="6" w:tplc="0422000F">
      <w:start w:val="1"/>
      <w:numFmt w:val="decimal"/>
      <w:suff w:val="tab"/>
      <w:lvlText w:val="%7."/>
      <w:lvlJc w:val="left"/>
      <w:pPr>
        <w:ind w:hanging="360" w:left="5040"/>
      </w:pPr>
      <w:rPr/>
    </w:lvl>
    <w:lvl w:ilvl="7" w:tplc="04220019">
      <w:start w:val="1"/>
      <w:numFmt w:val="lowerLetter"/>
      <w:suff w:val="tab"/>
      <w:lvlText w:val="%8."/>
      <w:lvlJc w:val="left"/>
      <w:pPr>
        <w:ind w:hanging="360" w:left="5760"/>
      </w:pPr>
      <w:rPr/>
    </w:lvl>
    <w:lvl w:ilvl="8" w:tplc="0422001B">
      <w:start w:val="1"/>
      <w:numFmt w:val="lowerRoman"/>
      <w:suff w:val="tab"/>
      <w:lvlText w:val="%9."/>
      <w:lvlJc w:val="right"/>
      <w:pPr>
        <w:ind w:hanging="180" w:left="6480"/>
      </w:pPr>
      <w:rPr/>
    </w:lvl>
  </w:abstractNum>
  <w:abstractNum w:abstractNumId="2">
    <w:nsid w:val="3FBA08EB"/>
    <w:multiLevelType w:val="hybridMultilevel"/>
    <w:lvl w:ilvl="0" w:tplc="27CE8F58">
      <w:start w:val="1"/>
      <w:numFmt w:val="bullet"/>
      <w:suff w:val="tab"/>
      <w:lvlText w:val=""/>
      <w:lvlJc w:val="left"/>
      <w:pPr>
        <w:ind w:hanging="360" w:left="720"/>
        <w:tabs>
          <w:tab w:val="left" w:pos="720" w:leader="none"/>
        </w:tabs>
      </w:pPr>
      <w:rPr>
        <w:rFonts w:ascii="Symbol" w:hAnsi="Symbol"/>
        <w:sz w:val="20"/>
      </w:rPr>
    </w:lvl>
    <w:lvl w:ilvl="1" w:tplc="9E7ED6D6">
      <w:start w:val="1"/>
      <w:numFmt w:val="bullet"/>
      <w:suff w:val="tab"/>
      <w:lvlText w:val="o"/>
      <w:lvlJc w:val="left"/>
      <w:pPr>
        <w:ind w:hanging="360" w:left="1440"/>
        <w:tabs>
          <w:tab w:val="left" w:pos="1440" w:leader="none"/>
        </w:tabs>
      </w:pPr>
      <w:rPr>
        <w:rFonts w:ascii="Courier New" w:hAnsi="Courier New"/>
        <w:sz w:val="20"/>
      </w:rPr>
    </w:lvl>
    <w:lvl w:ilvl="2" w:tplc="85BE35FA">
      <w:start w:val="1"/>
      <w:numFmt w:val="bullet"/>
      <w:suff w:val="tab"/>
      <w:lvlText w:val=""/>
      <w:lvlJc w:val="left"/>
      <w:pPr>
        <w:ind w:hanging="360" w:left="2160"/>
        <w:tabs>
          <w:tab w:val="left" w:pos="2160" w:leader="none"/>
        </w:tabs>
      </w:pPr>
      <w:rPr>
        <w:rFonts w:ascii="Wingdings" w:hAnsi="Wingdings"/>
        <w:sz w:val="20"/>
      </w:rPr>
    </w:lvl>
    <w:lvl w:ilvl="3" w:tplc="44CA7274">
      <w:start w:val="1"/>
      <w:numFmt w:val="bullet"/>
      <w:suff w:val="tab"/>
      <w:lvlText w:val=""/>
      <w:lvlJc w:val="left"/>
      <w:pPr>
        <w:ind w:hanging="360" w:left="2880"/>
        <w:tabs>
          <w:tab w:val="left" w:pos="2880" w:leader="none"/>
        </w:tabs>
      </w:pPr>
      <w:rPr>
        <w:rFonts w:ascii="Wingdings" w:hAnsi="Wingdings"/>
        <w:sz w:val="20"/>
      </w:rPr>
    </w:lvl>
    <w:lvl w:ilvl="4" w:tplc="4678F3C8">
      <w:start w:val="1"/>
      <w:numFmt w:val="bullet"/>
      <w:suff w:val="tab"/>
      <w:lvlText w:val=""/>
      <w:lvlJc w:val="left"/>
      <w:pPr>
        <w:ind w:hanging="360" w:left="3600"/>
        <w:tabs>
          <w:tab w:val="left" w:pos="3600" w:leader="none"/>
        </w:tabs>
      </w:pPr>
      <w:rPr>
        <w:rFonts w:ascii="Wingdings" w:hAnsi="Wingdings"/>
        <w:sz w:val="20"/>
      </w:rPr>
    </w:lvl>
    <w:lvl w:ilvl="5" w:tplc="E73A2C22">
      <w:start w:val="1"/>
      <w:numFmt w:val="bullet"/>
      <w:suff w:val="tab"/>
      <w:lvlText w:val=""/>
      <w:lvlJc w:val="left"/>
      <w:pPr>
        <w:ind w:hanging="360" w:left="4320"/>
        <w:tabs>
          <w:tab w:val="left" w:pos="4320" w:leader="none"/>
        </w:tabs>
      </w:pPr>
      <w:rPr>
        <w:rFonts w:ascii="Wingdings" w:hAnsi="Wingdings"/>
        <w:sz w:val="20"/>
      </w:rPr>
    </w:lvl>
    <w:lvl w:ilvl="6" w:tplc="8C54E59C">
      <w:start w:val="1"/>
      <w:numFmt w:val="bullet"/>
      <w:suff w:val="tab"/>
      <w:lvlText w:val=""/>
      <w:lvlJc w:val="left"/>
      <w:pPr>
        <w:ind w:hanging="360" w:left="5040"/>
        <w:tabs>
          <w:tab w:val="left" w:pos="5040" w:leader="none"/>
        </w:tabs>
      </w:pPr>
      <w:rPr>
        <w:rFonts w:ascii="Wingdings" w:hAnsi="Wingdings"/>
        <w:sz w:val="20"/>
      </w:rPr>
    </w:lvl>
    <w:lvl w:ilvl="7" w:tplc="4638327A">
      <w:start w:val="1"/>
      <w:numFmt w:val="bullet"/>
      <w:suff w:val="tab"/>
      <w:lvlText w:val=""/>
      <w:lvlJc w:val="left"/>
      <w:pPr>
        <w:ind w:hanging="360" w:left="5760"/>
        <w:tabs>
          <w:tab w:val="left" w:pos="5760" w:leader="none"/>
        </w:tabs>
      </w:pPr>
      <w:rPr>
        <w:rFonts w:ascii="Wingdings" w:hAnsi="Wingdings"/>
        <w:sz w:val="20"/>
      </w:rPr>
    </w:lvl>
    <w:lvl w:ilvl="8" w:tplc="03346216">
      <w:start w:val="1"/>
      <w:numFmt w:val="bullet"/>
      <w:suff w:val="tab"/>
      <w:lvlText w:val=""/>
      <w:lvlJc w:val="left"/>
      <w:pPr>
        <w:ind w:hanging="360" w:left="6480"/>
        <w:tabs>
          <w:tab w:val="left" w:pos="6480" w:leader="none"/>
        </w:tabs>
      </w:pPr>
      <w:rPr>
        <w:rFonts w:ascii="Wingdings" w:hAnsi="Wingdings"/>
        <w:sz w:val="20"/>
      </w:rPr>
    </w:lvl>
  </w:abstractNum>
  <w:abstractNum w:abstractNumId="3">
    <w:nsid w:val="40A250D1"/>
    <w:multiLevelType w:val="multilevel"/>
    <w:lvl w:ilvl="0">
      <w:start w:val="1"/>
      <w:numFmt w:val="decimal"/>
      <w:suff w:val="tab"/>
      <w:lvlText w:val="%1."/>
      <w:lvlJc w:val="left"/>
      <w:pPr>
        <w:ind w:hanging="360" w:left="720"/>
      </w:pPr>
      <w:rPr>
        <w:color w:val="000000"/>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
    <w:nsid w:val="762111C2"/>
    <w:multiLevelType w:val="hybridMultilevel"/>
    <w:lvl w:ilvl="0" w:tplc="78ACBE08">
      <w:start w:val="1"/>
      <w:numFmt w:val="bullet"/>
      <w:suff w:val="tab"/>
      <w:lvlText w:val=""/>
      <w:lvlJc w:val="left"/>
      <w:pPr>
        <w:ind w:hanging="360" w:left="720"/>
      </w:pPr>
      <w:rPr>
        <w:rFonts w:ascii="Symbol" w:hAnsi="Symbol"/>
      </w:rPr>
    </w:lvl>
    <w:lvl w:ilvl="1" w:tplc="04220003">
      <w:start w:val="1"/>
      <w:numFmt w:val="bullet"/>
      <w:suff w:val="tab"/>
      <w:lvlText w:val="o"/>
      <w:lvlJc w:val="left"/>
      <w:pPr>
        <w:ind w:hanging="360" w:left="1440"/>
      </w:pPr>
      <w:rPr>
        <w:rFonts w:ascii="Courier New" w:hAnsi="Courier New"/>
      </w:rPr>
    </w:lvl>
    <w:lvl w:ilvl="2" w:tplc="04220005">
      <w:start w:val="1"/>
      <w:numFmt w:val="bullet"/>
      <w:suff w:val="tab"/>
      <w:lvlText w:val=""/>
      <w:lvlJc w:val="left"/>
      <w:pPr>
        <w:ind w:hanging="360" w:left="2160"/>
      </w:pPr>
      <w:rPr>
        <w:rFonts w:ascii="Wingdings" w:hAnsi="Wingdings"/>
      </w:rPr>
    </w:lvl>
    <w:lvl w:ilvl="3" w:tplc="04220001">
      <w:start w:val="1"/>
      <w:numFmt w:val="bullet"/>
      <w:suff w:val="tab"/>
      <w:lvlText w:val=""/>
      <w:lvlJc w:val="left"/>
      <w:pPr>
        <w:ind w:hanging="360" w:left="2880"/>
      </w:pPr>
      <w:rPr>
        <w:rFonts w:ascii="Symbol" w:hAnsi="Symbol"/>
      </w:rPr>
    </w:lvl>
    <w:lvl w:ilvl="4" w:tplc="04220003">
      <w:start w:val="1"/>
      <w:numFmt w:val="bullet"/>
      <w:suff w:val="tab"/>
      <w:lvlText w:val="o"/>
      <w:lvlJc w:val="left"/>
      <w:pPr>
        <w:ind w:hanging="360" w:left="3600"/>
      </w:pPr>
      <w:rPr>
        <w:rFonts w:ascii="Courier New" w:hAnsi="Courier New"/>
      </w:rPr>
    </w:lvl>
    <w:lvl w:ilvl="5" w:tplc="04220005">
      <w:start w:val="1"/>
      <w:numFmt w:val="bullet"/>
      <w:suff w:val="tab"/>
      <w:lvlText w:val=""/>
      <w:lvlJc w:val="left"/>
      <w:pPr>
        <w:ind w:hanging="360" w:left="4320"/>
      </w:pPr>
      <w:rPr>
        <w:rFonts w:ascii="Wingdings" w:hAnsi="Wingdings"/>
      </w:rPr>
    </w:lvl>
    <w:lvl w:ilvl="6" w:tplc="04220001">
      <w:start w:val="1"/>
      <w:numFmt w:val="bullet"/>
      <w:suff w:val="tab"/>
      <w:lvlText w:val=""/>
      <w:lvlJc w:val="left"/>
      <w:pPr>
        <w:ind w:hanging="360" w:left="5040"/>
      </w:pPr>
      <w:rPr>
        <w:rFonts w:ascii="Symbol" w:hAnsi="Symbol"/>
      </w:rPr>
    </w:lvl>
    <w:lvl w:ilvl="7" w:tplc="04220003">
      <w:start w:val="1"/>
      <w:numFmt w:val="bullet"/>
      <w:suff w:val="tab"/>
      <w:lvlText w:val="o"/>
      <w:lvlJc w:val="left"/>
      <w:pPr>
        <w:ind w:hanging="360" w:left="5760"/>
      </w:pPr>
      <w:rPr>
        <w:rFonts w:ascii="Courier New" w:hAnsi="Courier New"/>
      </w:rPr>
    </w:lvl>
    <w:lvl w:ilvl="8" w:tplc="04220005">
      <w:start w:val="1"/>
      <w:numFmt w:val="bullet"/>
      <w:suff w:val="tab"/>
      <w:lvlText w:val=""/>
      <w:lvlJc w:val="left"/>
      <w:pPr>
        <w:ind w:hanging="360" w:left="6480"/>
      </w:pPr>
      <w:rPr>
        <w:rFonts w:ascii="Wingdings" w:hAnsi="Wingdings"/>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jc w:val="left"/>
    </w:pPr>
    <w:rPr/>
  </w:style>
  <w:style w:type="paragraph" w:styleId="P1">
    <w:name w:val="heading 1"/>
    <w:basedOn w:val="P0"/>
    <w:next w:val="P0"/>
    <w:qFormat/>
    <w:pPr>
      <w:keepNext w:val="1"/>
      <w:keepLines w:val="1"/>
      <w:spacing w:before="480" w:after="120" w:beforeAutospacing="0" w:afterAutospacing="0"/>
      <w:outlineLvl w:val="0"/>
    </w:pPr>
    <w:rPr>
      <w:b w:val="1"/>
      <w:sz w:val="48"/>
    </w:rPr>
  </w:style>
  <w:style w:type="paragraph" w:styleId="P2">
    <w:name w:val="heading 2"/>
    <w:basedOn w:val="P0"/>
    <w:next w:val="P0"/>
    <w:semiHidden/>
    <w:qFormat/>
    <w:pPr>
      <w:keepNext w:val="1"/>
      <w:keepLines w:val="1"/>
      <w:spacing w:before="360" w:after="80" w:beforeAutospacing="0" w:afterAutospacing="0"/>
      <w:outlineLvl w:val="1"/>
    </w:pPr>
    <w:rPr>
      <w:b w:val="1"/>
      <w:sz w:val="36"/>
    </w:rPr>
  </w:style>
  <w:style w:type="paragraph" w:styleId="P3">
    <w:name w:val="heading 3"/>
    <w:basedOn w:val="P0"/>
    <w:next w:val="P0"/>
    <w:semiHidden/>
    <w:qFormat/>
    <w:pPr>
      <w:keepNext w:val="1"/>
      <w:keepLines w:val="1"/>
      <w:spacing w:before="280" w:after="80" w:beforeAutospacing="0" w:afterAutospacing="0"/>
      <w:outlineLvl w:val="2"/>
    </w:pPr>
    <w:rPr>
      <w:b w:val="1"/>
      <w:sz w:val="28"/>
    </w:rPr>
  </w:style>
  <w:style w:type="paragraph" w:styleId="P4">
    <w:name w:val="heading 4"/>
    <w:basedOn w:val="P0"/>
    <w:next w:val="P0"/>
    <w:semiHidden/>
    <w:qFormat/>
    <w:pPr>
      <w:keepNext w:val="1"/>
      <w:keepLines w:val="1"/>
      <w:spacing w:before="240" w:after="40" w:beforeAutospacing="0" w:afterAutospacing="0"/>
      <w:outlineLvl w:val="3"/>
    </w:pPr>
    <w:rPr>
      <w:b w:val="1"/>
      <w:sz w:val="24"/>
    </w:rPr>
  </w:style>
  <w:style w:type="paragraph" w:styleId="P5">
    <w:name w:val="heading 5"/>
    <w:basedOn w:val="P0"/>
    <w:next w:val="P0"/>
    <w:semiHidden/>
    <w:qFormat/>
    <w:pPr>
      <w:keepNext w:val="1"/>
      <w:keepLines w:val="1"/>
      <w:spacing w:before="220" w:after="40" w:beforeAutospacing="0" w:afterAutospacing="0"/>
      <w:outlineLvl w:val="4"/>
    </w:pPr>
    <w:rPr>
      <w:b w:val="1"/>
    </w:rPr>
  </w:style>
  <w:style w:type="paragraph" w:styleId="P6">
    <w:name w:val="heading 6"/>
    <w:basedOn w:val="P0"/>
    <w:next w:val="P0"/>
    <w:semiHidden/>
    <w:qFormat/>
    <w:pPr>
      <w:keepNext w:val="1"/>
      <w:keepLines w:val="1"/>
      <w:spacing w:before="200" w:after="40" w:beforeAutospacing="0" w:afterAutospacing="0"/>
      <w:outlineLvl w:val="5"/>
    </w:pPr>
    <w:rPr>
      <w:b w:val="1"/>
      <w:sz w:val="20"/>
    </w:rPr>
  </w:style>
  <w:style w:type="paragraph" w:styleId="P7">
    <w:name w:val="Title"/>
    <w:basedOn w:val="P0"/>
    <w:next w:val="P0"/>
    <w:qFormat/>
    <w:pPr>
      <w:keepNext w:val="1"/>
      <w:keepLines w:val="1"/>
      <w:spacing w:before="480" w:after="120" w:beforeAutospacing="0" w:afterAutospacing="0"/>
    </w:pPr>
    <w:rPr>
      <w:b w:val="1"/>
      <w:sz w:val="72"/>
    </w:rPr>
  </w:style>
  <w:style w:type="paragraph" w:styleId="P8">
    <w:name w:val="msonormal"/>
    <w:basedOn w:val="P0"/>
    <w:pPr>
      <w:spacing w:lineRule="auto" w:line="240" w:before="100" w:after="100" w:beforeAutospacing="1" w:afterAutospacing="1"/>
    </w:pPr>
    <w:rPr>
      <w:rFonts w:ascii="Times New Roman" w:hAnsi="Times New Roman"/>
      <w:sz w:val="24"/>
    </w:rPr>
  </w:style>
  <w:style w:type="paragraph" w:styleId="P9">
    <w:name w:val="Normal (Web)"/>
    <w:basedOn w:val="P0"/>
    <w:link w:val="C6"/>
    <w:qFormat/>
    <w:pPr>
      <w:spacing w:lineRule="auto" w:line="240" w:before="100" w:after="100" w:beforeAutospacing="1" w:afterAutospacing="1"/>
    </w:pPr>
    <w:rPr>
      <w:rFonts w:ascii="Times New Roman" w:hAnsi="Times New Roman"/>
      <w:sz w:val="24"/>
    </w:rPr>
  </w:style>
  <w:style w:type="paragraph" w:styleId="P10">
    <w:name w:val="Subtitle"/>
    <w:basedOn w:val="P0"/>
    <w:next w:val="P0"/>
    <w:pPr>
      <w:keepNext w:val="1"/>
      <w:keepLines w:val="1"/>
      <w:spacing w:before="360" w:after="80" w:beforeAutospacing="0" w:afterAutospacing="0"/>
    </w:pPr>
    <w:rPr>
      <w:rFonts w:ascii="Georgia" w:hAnsi="Georgia"/>
      <w:i w:val="1"/>
      <w:color w:val="666666"/>
      <w:sz w:val="48"/>
    </w:rPr>
  </w:style>
  <w:style w:type="paragraph" w:styleId="P11">
    <w:name w:val="ТВ-заг1"/>
    <w:basedOn w:val="P2"/>
    <w:qFormat/>
    <w:pPr>
      <w:widowControl w:val="0"/>
      <w:numPr>
        <w:numId w:val="1"/>
      </w:numPr>
      <w:tabs>
        <w:tab w:val="left" w:pos="1134" w:leader="none"/>
      </w:tabs>
      <w:spacing w:lineRule="auto" w:line="240" w:before="180" w:after="120" w:beforeAutospacing="0" w:afterAutospacing="0"/>
      <w:jc w:val="both"/>
      <w:outlineLvl w:val="0"/>
    </w:pPr>
    <w:rPr>
      <w:rFonts w:ascii="Arial" w:hAnsi="Arial"/>
      <w:sz w:val="22"/>
    </w:rPr>
  </w:style>
  <w:style w:type="paragraph" w:styleId="P12">
    <w:name w:val="ТВ-абз2"/>
    <w:basedOn w:val="P11"/>
    <w:qFormat/>
    <w:pPr>
      <w:keepNext w:val="0"/>
      <w:numPr>
        <w:ilvl w:val="1"/>
      </w:numPr>
      <w:tabs>
        <w:tab w:val="left" w:pos="360" w:leader="none"/>
      </w:tabs>
      <w:spacing w:before="60" w:after="0" w:beforeAutospacing="0" w:afterAutospacing="0"/>
    </w:pPr>
    <w:rPr>
      <w:b w:val="0"/>
    </w:rPr>
  </w:style>
  <w:style w:type="paragraph" w:styleId="P13">
    <w:name w:val="No Spacing"/>
    <w:qFormat/>
    <w:pPr>
      <w:spacing w:lineRule="auto" w:line="240" w:after="0" w:beforeAutospacing="0" w:afterAutospacing="0"/>
    </w:pPr>
    <w:rPr/>
  </w:style>
  <w:style w:type="paragraph" w:styleId="P14">
    <w:name w:val="List Paragraph"/>
    <w:basedOn w:val="P0"/>
    <w:qFormat/>
    <w:pPr>
      <w:spacing w:lineRule="auto" w:line="276" w:after="200" w:beforeAutospacing="0" w:afterAutospacing="0"/>
      <w:ind w:left="720"/>
      <w:contextualSpacing w:val="1"/>
    </w:pPr>
    <w:rPr/>
  </w:style>
  <w:style w:type="paragraph" w:styleId="P15">
    <w:name w:val="Обычный1"/>
    <w:pPr>
      <w:spacing w:lineRule="auto" w:line="276" w:after="0" w:beforeAutospacing="0" w:afterAutospacing="0"/>
    </w:pPr>
    <w:rPr>
      <w:rFonts w:ascii="Arial" w:hAnsi="Arial"/>
      <w:color w:val="000000"/>
    </w:rPr>
  </w:style>
  <w:style w:type="character" w:styleId="C0" w:default="1">
    <w:name w:val="Default Paragraph Font"/>
    <w:semiHidden/>
    <w:rPr/>
  </w:style>
  <w:style w:type="character" w:styleId="C1">
    <w:name w:val="Line Number"/>
    <w:basedOn w:val="C0"/>
    <w:semiHidden/>
    <w:rPr/>
  </w:style>
  <w:style w:type="character" w:styleId="C2">
    <w:name w:val="Hyperlink"/>
    <w:basedOn w:val="C0"/>
    <w:semiHidden/>
    <w:rPr>
      <w:color w:val="0000FF"/>
      <w:u w:val="single"/>
    </w:rPr>
  </w:style>
  <w:style w:type="character" w:styleId="C3">
    <w:name w:val="line number"/>
    <w:basedOn w:val="C0"/>
    <w:semiHidden/>
    <w:rPr/>
  </w:style>
  <w:style w:type="character" w:styleId="C4">
    <w:name w:val="apple-tab-span"/>
    <w:basedOn w:val="C0"/>
    <w:rPr/>
  </w:style>
  <w:style w:type="character" w:styleId="C5">
    <w:name w:val="fontstyle01"/>
    <w:basedOn w:val="C0"/>
    <w:rPr>
      <w:rFonts w:ascii="ArialMT" w:hAnsi="ArialMT"/>
      <w:b w:val="0"/>
      <w:i w:val="0"/>
      <w:color w:val="000000"/>
      <w:sz w:val="16"/>
    </w:rPr>
  </w:style>
  <w:style w:type="character" w:styleId="C6">
    <w:name w:val="Звичайний (веб) Знак"/>
    <w:link w:val="P9"/>
    <w:rPr>
      <w:rFonts w:ascii="Times New Roman" w:hAnsi="Times New Roman"/>
      <w:sz w:val="24"/>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 w:type="table" w:styleId="T2">
    <w:name w:val="Table Normal"/>
    <w:tblPr>
      <w:tblCellMar>
        <w:top w:w="0" w:type="dxa"/>
        <w:left w:w="0" w:type="dxa"/>
        <w:bottom w:w="0" w:type="dxa"/>
        <w:right w:w="0" w:type="dxa"/>
      </w:tblCellMar>
    </w:tblPr>
    <w:trPr/>
    <w:tcPr/>
  </w:style>
  <w:style w:type="table" w:styleId="T3">
    <w:name w:val=""/>
    <w:basedOn w:val="T2"/>
    <w:tblPr>
      <w:tblStyleRowBandSize w:val="1"/>
      <w:tblStyleColBandSize w:val="1"/>
      <w:tblCellMar>
        <w:top w:w="100" w:type="dxa"/>
        <w:left w:w="100" w:type="dxa"/>
        <w:bottom w:w="100" w:type="dxa"/>
        <w:right w:w="100" w:type="dxa"/>
      </w:tblCellMar>
    </w:tblPr>
    <w:trPr/>
    <w:tcPr/>
  </w:style>
  <w:style w:type="table" w:styleId="T4">
    <w:name w:val="Table Grid"/>
    <w:basedOn w:val="T0"/>
    <w:pPr>
      <w:spacing w:lineRule="auto" w:line="240" w:after="0" w:beforeAutospacing="0" w:afterAutospacing="0"/>
    </w:pPr>
    <w:rPr>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