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92629D" w:rsidRPr="0092629D" w:rsidRDefault="0092629D" w:rsidP="0092629D">
            <w:pPr>
              <w:pStyle w:val="--14"/>
              <w:snapToGrid w:val="0"/>
              <w:ind w:right="-13"/>
              <w:rPr>
                <w:kern w:val="2"/>
                <w:lang w:eastAsia="ru-RU"/>
              </w:rPr>
            </w:pPr>
            <w:r w:rsidRPr="0092629D">
              <w:rPr>
                <w:kern w:val="2"/>
                <w:lang w:eastAsia="ru-RU"/>
              </w:rPr>
              <w:t>Комунальний заклад загальної середньої освіти</w:t>
            </w:r>
          </w:p>
          <w:p w:rsidR="0092629D" w:rsidRPr="0092629D" w:rsidRDefault="0092629D" w:rsidP="0092629D">
            <w:pPr>
              <w:pStyle w:val="--14"/>
              <w:snapToGrid w:val="0"/>
              <w:ind w:right="-13"/>
              <w:rPr>
                <w:kern w:val="2"/>
                <w:lang w:eastAsia="ru-RU"/>
              </w:rPr>
            </w:pPr>
          </w:p>
          <w:p w:rsidR="00233F62" w:rsidRPr="00233F62" w:rsidRDefault="0092629D" w:rsidP="0092629D">
            <w:pPr>
              <w:pStyle w:val="--14"/>
              <w:snapToGrid w:val="0"/>
              <w:ind w:right="-13"/>
              <w:rPr>
                <w:sz w:val="24"/>
                <w:szCs w:val="24"/>
                <w:lang w:val="ru-RU"/>
              </w:rPr>
            </w:pPr>
            <w:r w:rsidRPr="0092629D">
              <w:rPr>
                <w:kern w:val="2"/>
                <w:lang w:eastAsia="ru-RU"/>
              </w:rPr>
              <w:t>«Ліцей № 2 Хмельницької міської ради»</w:t>
            </w:r>
          </w:p>
        </w:tc>
      </w:tr>
      <w:tr w:rsidR="0048318C" w:rsidRPr="00A103E5" w:rsidTr="00ED3D13">
        <w:trPr>
          <w:trHeight w:val="1976"/>
        </w:trPr>
        <w:tc>
          <w:tcPr>
            <w:tcW w:w="9639" w:type="dxa"/>
            <w:shd w:val="clear" w:color="auto" w:fill="auto"/>
            <w:vAlign w:val="center"/>
          </w:tcPr>
          <w:p w:rsidR="0092629D" w:rsidRDefault="0092629D" w:rsidP="00ED3D13">
            <w:pPr>
              <w:pStyle w:val="--140"/>
              <w:ind w:left="5217" w:right="-13"/>
              <w:rPr>
                <w:iCs/>
                <w:sz w:val="24"/>
                <w:szCs w:val="24"/>
              </w:rPr>
            </w:pPr>
          </w:p>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5C7721">
              <w:rPr>
                <w:iCs/>
                <w:sz w:val="24"/>
                <w:szCs w:val="24"/>
              </w:rPr>
              <w:t>Протокол</w:t>
            </w:r>
            <w:r w:rsidR="0092629D" w:rsidRPr="005C7721">
              <w:rPr>
                <w:iCs/>
                <w:sz w:val="24"/>
                <w:szCs w:val="24"/>
              </w:rPr>
              <w:t xml:space="preserve"> </w:t>
            </w:r>
            <w:r w:rsidRPr="005C7721">
              <w:rPr>
                <w:iCs/>
                <w:sz w:val="24"/>
                <w:szCs w:val="24"/>
              </w:rPr>
              <w:t>№</w:t>
            </w:r>
            <w:r w:rsidR="005C7721" w:rsidRPr="005C7721">
              <w:rPr>
                <w:iCs/>
                <w:sz w:val="24"/>
                <w:szCs w:val="24"/>
                <w:lang w:val="ru-RU"/>
              </w:rPr>
              <w:t>46</w:t>
            </w:r>
            <w:bookmarkStart w:id="0" w:name="_GoBack"/>
            <w:bookmarkEnd w:id="0"/>
            <w:r w:rsidR="001D4D6C" w:rsidRPr="001D4D6C">
              <w:rPr>
                <w:iCs/>
                <w:sz w:val="24"/>
                <w:szCs w:val="24"/>
              </w:rPr>
              <w:t xml:space="preserve"> від </w:t>
            </w:r>
            <w:r w:rsidR="0052670B">
              <w:rPr>
                <w:iCs/>
                <w:sz w:val="24"/>
                <w:szCs w:val="24"/>
                <w:lang w:val="ru-RU"/>
              </w:rPr>
              <w:t>1</w:t>
            </w:r>
            <w:r w:rsidR="0092629D">
              <w:rPr>
                <w:iCs/>
                <w:sz w:val="24"/>
                <w:szCs w:val="24"/>
                <w:lang w:val="ru-RU"/>
              </w:rPr>
              <w:t>8</w:t>
            </w:r>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C72ABC" w:rsidRPr="00C72ABC" w:rsidRDefault="0048318C" w:rsidP="00C72ABC">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C72ABC" w:rsidRPr="00C72ABC">
        <w:rPr>
          <w:b/>
          <w:lang w:val="uk-UA"/>
        </w:rPr>
        <w:t xml:space="preserve">15810000 -9 — Хлібопродукти </w:t>
      </w:r>
      <w:proofErr w:type="spellStart"/>
      <w:r w:rsidR="00C72ABC" w:rsidRPr="00C72ABC">
        <w:rPr>
          <w:b/>
          <w:lang w:val="uk-UA"/>
        </w:rPr>
        <w:t>свіжовипечені,хлібобулочні</w:t>
      </w:r>
      <w:proofErr w:type="spellEnd"/>
      <w:r w:rsidR="00C72ABC" w:rsidRPr="00C72ABC">
        <w:rPr>
          <w:b/>
          <w:lang w:val="uk-UA"/>
        </w:rPr>
        <w:t xml:space="preserve"> та кондитерські вироби  </w:t>
      </w:r>
    </w:p>
    <w:p w:rsidR="0048318C" w:rsidRPr="00A103E5" w:rsidRDefault="0092629D" w:rsidP="00C72ABC">
      <w:pPr>
        <w:pStyle w:val="rvps2"/>
        <w:shd w:val="clear" w:color="auto" w:fill="FFFFFF"/>
        <w:spacing w:after="0"/>
        <w:jc w:val="center"/>
        <w:textAlignment w:val="baseline"/>
        <w:rPr>
          <w:b/>
          <w:lang w:val="uk-UA"/>
        </w:rPr>
      </w:pPr>
      <w:r>
        <w:rPr>
          <w:b/>
          <w:lang w:val="uk-UA"/>
        </w:rPr>
        <w:t>(</w:t>
      </w:r>
      <w:r w:rsidRPr="0092629D">
        <w:rPr>
          <w:b/>
          <w:lang w:val="uk-UA"/>
        </w:rPr>
        <w:t xml:space="preserve">Хліб </w:t>
      </w:r>
      <w:proofErr w:type="spellStart"/>
      <w:r w:rsidRPr="0092629D">
        <w:rPr>
          <w:b/>
          <w:lang w:val="uk-UA"/>
        </w:rPr>
        <w:t>цільнозерновий</w:t>
      </w:r>
      <w:proofErr w:type="spellEnd"/>
      <w:r w:rsidRPr="0092629D">
        <w:rPr>
          <w:b/>
          <w:lang w:val="uk-UA"/>
        </w:rPr>
        <w:t xml:space="preserve">, хліб пшеничний, </w:t>
      </w:r>
      <w:proofErr w:type="spellStart"/>
      <w:r w:rsidRPr="0092629D">
        <w:rPr>
          <w:b/>
          <w:lang w:val="uk-UA"/>
        </w:rPr>
        <w:t>круасан</w:t>
      </w:r>
      <w:proofErr w:type="spellEnd"/>
      <w:r w:rsidRPr="0092629D">
        <w:rPr>
          <w:b/>
          <w:lang w:val="uk-UA"/>
        </w:rPr>
        <w:t xml:space="preserve"> з начинкою (солодкою), булка з начинкою (солодкою), бублик, кекс</w:t>
      </w:r>
      <w:r w:rsidR="00C72ABC" w:rsidRPr="00C72ABC">
        <w:rPr>
          <w:b/>
          <w:lang w:val="uk-UA"/>
        </w:rPr>
        <w:t>)</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C72ABC" w:rsidRDefault="00C72AB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7F6597" w:rsidRPr="00A103E5" w:rsidRDefault="007F6597"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5C7721"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92629D" w:rsidRDefault="0092629D" w:rsidP="0092629D">
            <w:pPr>
              <w:jc w:val="both"/>
              <w:rPr>
                <w:rFonts w:ascii="Times New Roman" w:eastAsia="Calibri" w:hAnsi="Times New Roman" w:cs="Times New Roman"/>
                <w:bCs/>
                <w:sz w:val="24"/>
                <w:szCs w:val="24"/>
                <w:lang w:val="uk-UA"/>
              </w:rPr>
            </w:pPr>
            <w:r w:rsidRPr="0092629D">
              <w:rPr>
                <w:rFonts w:ascii="Times New Roman" w:eastAsia="Calibri" w:hAnsi="Times New Roman" w:cs="Times New Roman"/>
                <w:bCs/>
                <w:sz w:val="24"/>
                <w:szCs w:val="24"/>
                <w:lang w:val="uk-UA"/>
              </w:rPr>
              <w:t>Комунальний заклад загальної середньої освіти</w:t>
            </w:r>
            <w:r>
              <w:rPr>
                <w:rFonts w:ascii="Times New Roman" w:eastAsia="Calibri" w:hAnsi="Times New Roman" w:cs="Times New Roman"/>
                <w:bCs/>
                <w:sz w:val="24"/>
                <w:szCs w:val="24"/>
                <w:lang w:val="uk-UA"/>
              </w:rPr>
              <w:t xml:space="preserve"> </w:t>
            </w:r>
            <w:r w:rsidRPr="0092629D">
              <w:rPr>
                <w:rFonts w:ascii="Times New Roman" w:eastAsia="Calibri" w:hAnsi="Times New Roman" w:cs="Times New Roman"/>
                <w:bCs/>
                <w:sz w:val="24"/>
                <w:szCs w:val="24"/>
                <w:lang w:val="uk-UA"/>
              </w:rPr>
              <w:t>«Ліцей № 2 Хмельницької міської ради»</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92629D" w:rsidP="004214FB">
            <w:pPr>
              <w:spacing w:after="0" w:line="240" w:lineRule="auto"/>
              <w:jc w:val="both"/>
              <w:rPr>
                <w:rFonts w:ascii="Times New Roman" w:hAnsi="Times New Roman" w:cs="Times New Roman"/>
                <w:bCs/>
                <w:sz w:val="24"/>
                <w:szCs w:val="24"/>
                <w:lang w:val="uk-UA"/>
              </w:rPr>
            </w:pPr>
            <w:r w:rsidRPr="0092629D">
              <w:rPr>
                <w:rFonts w:ascii="Times New Roman" w:hAnsi="Times New Roman" w:cs="Times New Roman"/>
                <w:bCs/>
                <w:sz w:val="24"/>
                <w:szCs w:val="24"/>
                <w:lang w:val="uk-UA"/>
              </w:rPr>
              <w:t>29009, Україна, Хмельницьк</w:t>
            </w:r>
            <w:r>
              <w:rPr>
                <w:rFonts w:ascii="Times New Roman" w:hAnsi="Times New Roman" w:cs="Times New Roman"/>
                <w:bCs/>
                <w:sz w:val="24"/>
                <w:szCs w:val="24"/>
                <w:lang w:val="uk-UA"/>
              </w:rPr>
              <w:t xml:space="preserve">а область, </w:t>
            </w:r>
            <w:proofErr w:type="spellStart"/>
            <w:r>
              <w:rPr>
                <w:rFonts w:ascii="Times New Roman" w:hAnsi="Times New Roman" w:cs="Times New Roman"/>
                <w:bCs/>
                <w:sz w:val="24"/>
                <w:szCs w:val="24"/>
                <w:lang w:val="uk-UA"/>
              </w:rPr>
              <w:t>м.Хмельницький</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вул.</w:t>
            </w:r>
            <w:r w:rsidRPr="0092629D">
              <w:rPr>
                <w:rFonts w:ascii="Times New Roman" w:hAnsi="Times New Roman" w:cs="Times New Roman"/>
                <w:bCs/>
                <w:sz w:val="24"/>
                <w:szCs w:val="24"/>
                <w:lang w:val="uk-UA"/>
              </w:rPr>
              <w:t>Івана</w:t>
            </w:r>
            <w:proofErr w:type="spellEnd"/>
            <w:r w:rsidRPr="0092629D">
              <w:rPr>
                <w:rFonts w:ascii="Times New Roman" w:hAnsi="Times New Roman" w:cs="Times New Roman"/>
                <w:bCs/>
                <w:sz w:val="24"/>
                <w:szCs w:val="24"/>
                <w:lang w:val="uk-UA"/>
              </w:rPr>
              <w:t xml:space="preserve"> Франка, буд. 57</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2629D" w:rsidRDefault="0092629D" w:rsidP="00A76C2E">
            <w:pPr>
              <w:spacing w:line="360" w:lineRule="auto"/>
              <w:rPr>
                <w:rFonts w:ascii="Times New Roman" w:eastAsia="Times New Roman" w:hAnsi="Times New Roman" w:cs="Times New Roman"/>
                <w:color w:val="000000"/>
                <w:kern w:val="3"/>
                <w:sz w:val="24"/>
                <w:szCs w:val="24"/>
                <w:lang w:val="uk-UA" w:eastAsia="ru-RU"/>
              </w:rPr>
            </w:pPr>
            <w:r w:rsidRPr="0092629D">
              <w:rPr>
                <w:rFonts w:ascii="Times New Roman" w:eastAsia="Times New Roman" w:hAnsi="Times New Roman" w:cs="Times New Roman"/>
                <w:color w:val="000000"/>
                <w:kern w:val="3"/>
                <w:sz w:val="24"/>
                <w:szCs w:val="24"/>
                <w:lang w:val="uk-UA" w:eastAsia="ru-RU"/>
              </w:rPr>
              <w:t xml:space="preserve">Фахівець з публічних </w:t>
            </w:r>
            <w:proofErr w:type="spellStart"/>
            <w:r w:rsidRPr="0092629D">
              <w:rPr>
                <w:rFonts w:ascii="Times New Roman" w:eastAsia="Times New Roman" w:hAnsi="Times New Roman" w:cs="Times New Roman"/>
                <w:color w:val="000000"/>
                <w:kern w:val="3"/>
                <w:sz w:val="24"/>
                <w:szCs w:val="24"/>
                <w:lang w:val="uk-UA" w:eastAsia="ru-RU"/>
              </w:rPr>
              <w:t>закупівель</w:t>
            </w:r>
            <w:proofErr w:type="spellEnd"/>
            <w:r w:rsidRPr="0092629D">
              <w:rPr>
                <w:rFonts w:ascii="Times New Roman" w:eastAsia="Times New Roman" w:hAnsi="Times New Roman" w:cs="Times New Roman"/>
                <w:color w:val="000000"/>
                <w:kern w:val="3"/>
                <w:sz w:val="24"/>
                <w:szCs w:val="24"/>
                <w:lang w:val="uk-UA" w:eastAsia="ru-RU"/>
              </w:rPr>
              <w:t>, уповноважена особа:</w:t>
            </w:r>
          </w:p>
          <w:p w:rsidR="0092629D" w:rsidRDefault="0092629D" w:rsidP="00A76C2E">
            <w:pPr>
              <w:spacing w:line="360" w:lineRule="auto"/>
              <w:rPr>
                <w:rFonts w:ascii="Times New Roman" w:eastAsia="Times New Roman" w:hAnsi="Times New Roman" w:cs="Times New Roman"/>
                <w:color w:val="000000"/>
                <w:kern w:val="3"/>
                <w:sz w:val="24"/>
                <w:szCs w:val="24"/>
                <w:lang w:val="uk-UA" w:eastAsia="ru-RU"/>
              </w:rPr>
            </w:pPr>
            <w:r w:rsidRPr="0092629D">
              <w:rPr>
                <w:rFonts w:ascii="Times New Roman" w:eastAsia="Times New Roman" w:hAnsi="Times New Roman" w:cs="Times New Roman"/>
                <w:color w:val="000000"/>
                <w:kern w:val="3"/>
                <w:sz w:val="24"/>
                <w:szCs w:val="24"/>
                <w:lang w:val="uk-UA" w:eastAsia="ru-RU"/>
              </w:rPr>
              <w:t xml:space="preserve"> </w:t>
            </w:r>
            <w:proofErr w:type="spellStart"/>
            <w:r w:rsidRPr="0092629D">
              <w:rPr>
                <w:rFonts w:ascii="Times New Roman" w:eastAsia="Times New Roman" w:hAnsi="Times New Roman" w:cs="Times New Roman"/>
                <w:color w:val="000000"/>
                <w:kern w:val="3"/>
                <w:sz w:val="24"/>
                <w:szCs w:val="24"/>
                <w:lang w:val="uk-UA" w:eastAsia="ru-RU"/>
              </w:rPr>
              <w:t>Буняк</w:t>
            </w:r>
            <w:proofErr w:type="spellEnd"/>
            <w:r w:rsidRPr="0092629D">
              <w:rPr>
                <w:rFonts w:ascii="Times New Roman" w:eastAsia="Times New Roman" w:hAnsi="Times New Roman" w:cs="Times New Roman"/>
                <w:color w:val="000000"/>
                <w:kern w:val="3"/>
                <w:sz w:val="24"/>
                <w:szCs w:val="24"/>
                <w:lang w:val="uk-UA" w:eastAsia="ru-RU"/>
              </w:rPr>
              <w:t xml:space="preserve"> Олексій </w:t>
            </w:r>
          </w:p>
          <w:p w:rsidR="0092629D" w:rsidRDefault="0092629D" w:rsidP="00A76C2E">
            <w:pPr>
              <w:spacing w:line="360" w:lineRule="auto"/>
              <w:rPr>
                <w:rFonts w:ascii="Times New Roman" w:eastAsia="Times New Roman" w:hAnsi="Times New Roman" w:cs="Times New Roman"/>
                <w:color w:val="000000"/>
                <w:kern w:val="3"/>
                <w:sz w:val="24"/>
                <w:szCs w:val="24"/>
                <w:lang w:val="uk-UA" w:eastAsia="ru-RU"/>
              </w:rPr>
            </w:pPr>
            <w:r w:rsidRPr="0092629D">
              <w:rPr>
                <w:rFonts w:ascii="Times New Roman" w:eastAsia="Times New Roman" w:hAnsi="Times New Roman" w:cs="Times New Roman"/>
                <w:color w:val="000000"/>
                <w:kern w:val="3"/>
                <w:sz w:val="24"/>
                <w:szCs w:val="24"/>
                <w:lang w:val="uk-UA" w:eastAsia="ru-RU"/>
              </w:rPr>
              <w:t xml:space="preserve">Електронна пошта: </w:t>
            </w:r>
            <w:hyperlink r:id="rId5" w:history="1">
              <w:r w:rsidRPr="00B46F2B">
                <w:rPr>
                  <w:rStyle w:val="a5"/>
                  <w:rFonts w:ascii="Times New Roman" w:eastAsia="Times New Roman" w:hAnsi="Times New Roman" w:cs="Times New Roman"/>
                  <w:kern w:val="3"/>
                  <w:sz w:val="24"/>
                  <w:szCs w:val="24"/>
                  <w:lang w:val="uk-UA" w:eastAsia="ru-RU"/>
                </w:rPr>
                <w:t>ira068530@ukr.net</w:t>
              </w:r>
            </w:hyperlink>
            <w:r w:rsidRPr="0092629D">
              <w:rPr>
                <w:rFonts w:ascii="Times New Roman" w:eastAsia="Times New Roman" w:hAnsi="Times New Roman" w:cs="Times New Roman"/>
                <w:color w:val="000000"/>
                <w:kern w:val="3"/>
                <w:sz w:val="24"/>
                <w:szCs w:val="24"/>
                <w:lang w:val="uk-UA" w:eastAsia="ru-RU"/>
              </w:rPr>
              <w:t xml:space="preserve">, </w:t>
            </w:r>
          </w:p>
          <w:p w:rsidR="001D4D6C" w:rsidRPr="004E0940" w:rsidRDefault="0092629D" w:rsidP="00A76C2E">
            <w:pPr>
              <w:spacing w:line="360" w:lineRule="auto"/>
              <w:rPr>
                <w:rFonts w:ascii="Times New Roman" w:hAnsi="Times New Roman" w:cs="Times New Roman"/>
                <w:sz w:val="24"/>
                <w:szCs w:val="24"/>
              </w:rPr>
            </w:pPr>
            <w:proofErr w:type="spellStart"/>
            <w:r w:rsidRPr="0092629D">
              <w:rPr>
                <w:rFonts w:ascii="Times New Roman" w:eastAsia="Times New Roman" w:hAnsi="Times New Roman" w:cs="Times New Roman"/>
                <w:color w:val="000000"/>
                <w:kern w:val="3"/>
                <w:sz w:val="24"/>
                <w:szCs w:val="24"/>
                <w:lang w:val="uk-UA" w:eastAsia="ru-RU"/>
              </w:rPr>
              <w:t>тел</w:t>
            </w:r>
            <w:proofErr w:type="spellEnd"/>
            <w:r w:rsidRPr="0092629D">
              <w:rPr>
                <w:rFonts w:ascii="Times New Roman" w:eastAsia="Times New Roman" w:hAnsi="Times New Roman" w:cs="Times New Roman"/>
                <w:color w:val="000000"/>
                <w:kern w:val="3"/>
                <w:sz w:val="24"/>
                <w:szCs w:val="24"/>
                <w:lang w:val="uk-UA" w:eastAsia="ru-RU"/>
              </w:rPr>
              <w:t>.: 0382 79-46-7</w:t>
            </w:r>
            <w:r w:rsidR="002116A5">
              <w:rPr>
                <w:rFonts w:ascii="Times New Roman" w:eastAsia="Times New Roman" w:hAnsi="Times New Roman" w:cs="Times New Roman"/>
                <w:color w:val="000000"/>
                <w:kern w:val="3"/>
                <w:sz w:val="24"/>
                <w:szCs w:val="24"/>
                <w:lang w:val="uk-UA" w:eastAsia="ru-RU"/>
              </w:rPr>
              <w:t>1</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92629D"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C72ABC" w:rsidRPr="00C72ABC" w:rsidRDefault="0048318C" w:rsidP="00C72ABC">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C72ABC" w:rsidRPr="00C72ABC">
              <w:rPr>
                <w:b/>
                <w:lang w:val="uk-UA"/>
              </w:rPr>
              <w:t xml:space="preserve">15810000 -9 — Хлібопродукти </w:t>
            </w:r>
            <w:proofErr w:type="spellStart"/>
            <w:r w:rsidR="00C72ABC" w:rsidRPr="00C72ABC">
              <w:rPr>
                <w:b/>
                <w:lang w:val="uk-UA"/>
              </w:rPr>
              <w:t>свіжовипечені,хлібобулочні</w:t>
            </w:r>
            <w:proofErr w:type="spellEnd"/>
            <w:r w:rsidR="00C72ABC" w:rsidRPr="00C72ABC">
              <w:rPr>
                <w:b/>
                <w:lang w:val="uk-UA"/>
              </w:rPr>
              <w:t xml:space="preserve"> та кондитерські вироби  </w:t>
            </w:r>
          </w:p>
          <w:p w:rsidR="0048318C" w:rsidRPr="004E0940" w:rsidRDefault="00C72ABC" w:rsidP="00C72ABC">
            <w:pPr>
              <w:pStyle w:val="rvps2"/>
              <w:shd w:val="clear" w:color="auto" w:fill="FFFFFF"/>
              <w:spacing w:before="0" w:after="0"/>
              <w:jc w:val="center"/>
              <w:textAlignment w:val="baseline"/>
              <w:rPr>
                <w:b/>
                <w:lang w:val="uk-UA"/>
              </w:rPr>
            </w:pPr>
            <w:r w:rsidRPr="00C72ABC">
              <w:rPr>
                <w:b/>
                <w:lang w:val="uk-UA"/>
              </w:rPr>
              <w:t>(</w:t>
            </w:r>
            <w:r w:rsidR="0092629D" w:rsidRPr="0092629D">
              <w:rPr>
                <w:b/>
                <w:lang w:val="uk-UA"/>
              </w:rPr>
              <w:t xml:space="preserve">Хліб </w:t>
            </w:r>
            <w:proofErr w:type="spellStart"/>
            <w:r w:rsidR="0092629D" w:rsidRPr="0092629D">
              <w:rPr>
                <w:b/>
                <w:lang w:val="uk-UA"/>
              </w:rPr>
              <w:t>цільнозерновий</w:t>
            </w:r>
            <w:proofErr w:type="spellEnd"/>
            <w:r w:rsidR="0092629D" w:rsidRPr="0092629D">
              <w:rPr>
                <w:b/>
                <w:lang w:val="uk-UA"/>
              </w:rPr>
              <w:t xml:space="preserve">, хліб пшеничний, </w:t>
            </w:r>
            <w:proofErr w:type="spellStart"/>
            <w:r w:rsidR="0092629D" w:rsidRPr="0092629D">
              <w:rPr>
                <w:b/>
                <w:lang w:val="uk-UA"/>
              </w:rPr>
              <w:t>круасан</w:t>
            </w:r>
            <w:proofErr w:type="spellEnd"/>
            <w:r w:rsidR="0092629D" w:rsidRPr="0092629D">
              <w:rPr>
                <w:b/>
                <w:lang w:val="uk-UA"/>
              </w:rPr>
              <w:t xml:space="preserve"> з начинкою (солодкою), булка з начинкою (солодкою), бублик, кекс</w:t>
            </w:r>
            <w:r w:rsidRPr="00C72ABC">
              <w:rPr>
                <w:b/>
                <w:lang w:val="uk-UA"/>
              </w:rPr>
              <w:t>)</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F6597" w:rsidRDefault="0092629D" w:rsidP="00ED3D13">
            <w:pPr>
              <w:keepNext/>
              <w:keepLines/>
              <w:ind w:right="120"/>
              <w:contextualSpacing/>
              <w:jc w:val="both"/>
              <w:rPr>
                <w:rFonts w:ascii="Times New Roman" w:hAnsi="Times New Roman" w:cs="Times New Roman"/>
                <w:bCs/>
                <w:sz w:val="24"/>
                <w:szCs w:val="24"/>
                <w:lang w:val="uk-UA"/>
              </w:rPr>
            </w:pPr>
            <w:r w:rsidRPr="0092629D">
              <w:rPr>
                <w:rFonts w:ascii="Times New Roman" w:hAnsi="Times New Roman" w:cs="Times New Roman"/>
                <w:bCs/>
                <w:sz w:val="24"/>
                <w:szCs w:val="24"/>
                <w:lang w:val="uk-UA"/>
              </w:rPr>
              <w:t>29009, Україна, Хмельницьк</w:t>
            </w:r>
            <w:r>
              <w:rPr>
                <w:rFonts w:ascii="Times New Roman" w:hAnsi="Times New Roman" w:cs="Times New Roman"/>
                <w:bCs/>
                <w:sz w:val="24"/>
                <w:szCs w:val="24"/>
                <w:lang w:val="uk-UA"/>
              </w:rPr>
              <w:t xml:space="preserve">а область, м. Хмельницький, вул. </w:t>
            </w:r>
            <w:r w:rsidRPr="0092629D">
              <w:rPr>
                <w:rFonts w:ascii="Times New Roman" w:hAnsi="Times New Roman" w:cs="Times New Roman"/>
                <w:bCs/>
                <w:sz w:val="24"/>
                <w:szCs w:val="24"/>
                <w:lang w:val="uk-UA"/>
              </w:rPr>
              <w:t>Івана Франка, буд. 57</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5C7721"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w:t>
            </w:r>
            <w:r w:rsidRPr="0064132A">
              <w:rPr>
                <w:rFonts w:ascii="Times New Roman" w:hAnsi="Times New Roman" w:cs="Times New Roman"/>
                <w:sz w:val="24"/>
                <w:szCs w:val="24"/>
                <w:lang w:val="uk-UA"/>
              </w:rPr>
              <w:lastRenderedPageBreak/>
              <w:t xml:space="preserve">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A103E5">
              <w:rPr>
                <w:rFonts w:ascii="Times New Roman" w:hAnsi="Times New Roman" w:cs="Times New Roman"/>
                <w:sz w:val="24"/>
                <w:szCs w:val="24"/>
                <w:lang w:val="uk-UA"/>
              </w:rPr>
              <w:lastRenderedPageBreak/>
              <w:t xml:space="preserve">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w:t>
            </w:r>
            <w:r w:rsidRPr="0048318C">
              <w:rPr>
                <w:rFonts w:ascii="Times New Roman" w:hAnsi="Times New Roman" w:cs="Times New Roman"/>
                <w:bCs/>
                <w:iCs/>
                <w:sz w:val="24"/>
                <w:szCs w:val="24"/>
                <w:lang w:val="uk-UA"/>
              </w:rPr>
              <w:lastRenderedPageBreak/>
              <w:t>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92629D"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92629D" w:rsidRDefault="0048318C" w:rsidP="00ED3D13">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3.1.</w:t>
            </w:r>
            <w:r w:rsidR="00894D54">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5C7721"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5C772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5C7721"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030CA5">
              <w:rPr>
                <w:rFonts w:ascii="Times New Roman" w:eastAsia="Times New Roman" w:hAnsi="Times New Roman" w:cs="Times New Roman"/>
                <w:b/>
                <w:color w:val="000000"/>
                <w:sz w:val="24"/>
                <w:szCs w:val="24"/>
                <w:lang w:val="uk-UA" w:eastAsia="ru-RU"/>
              </w:rPr>
              <w:t>2</w:t>
            </w:r>
            <w:r w:rsidR="0092629D">
              <w:rPr>
                <w:rFonts w:ascii="Times New Roman" w:eastAsia="Times New Roman" w:hAnsi="Times New Roman" w:cs="Times New Roman"/>
                <w:b/>
                <w:color w:val="000000"/>
                <w:sz w:val="24"/>
                <w:szCs w:val="24"/>
                <w:lang w:val="uk-UA" w:eastAsia="ru-RU"/>
              </w:rPr>
              <w:t>6</w:t>
            </w:r>
            <w:r w:rsidR="009D2E9E" w:rsidRPr="009D2E9E">
              <w:rPr>
                <w:rFonts w:ascii="Times New Roman" w:eastAsia="Times New Roman" w:hAnsi="Times New Roman" w:cs="Times New Roman"/>
                <w:b/>
                <w:color w:val="000000"/>
                <w:sz w:val="24"/>
                <w:szCs w:val="24"/>
                <w:lang w:val="uk-UA" w:eastAsia="ru-RU"/>
              </w:rPr>
              <w:t>.12</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1D4D6C" w:rsidRPr="001D4D6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p>
          <w:p w:rsidR="0048318C" w:rsidRPr="00A103E5" w:rsidRDefault="0048318C" w:rsidP="00ED3D13">
            <w:pPr>
              <w:jc w:val="both"/>
              <w:rPr>
                <w:rFonts w:ascii="Times New Roman" w:hAnsi="Times New Roman" w:cs="Times New Roman"/>
                <w:sz w:val="24"/>
                <w:szCs w:val="24"/>
                <w:lang w:val="uk-UA"/>
              </w:rPr>
            </w:pPr>
          </w:p>
        </w:tc>
      </w:tr>
      <w:tr w:rsidR="0048318C" w:rsidRPr="005C772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5C772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0CA5"/>
    <w:rsid w:val="001509A4"/>
    <w:rsid w:val="001741B0"/>
    <w:rsid w:val="001D4D6C"/>
    <w:rsid w:val="002116A5"/>
    <w:rsid w:val="00233F62"/>
    <w:rsid w:val="003B638E"/>
    <w:rsid w:val="003C273D"/>
    <w:rsid w:val="00436F85"/>
    <w:rsid w:val="0048318C"/>
    <w:rsid w:val="00496F7D"/>
    <w:rsid w:val="0052670B"/>
    <w:rsid w:val="005660B9"/>
    <w:rsid w:val="005C7721"/>
    <w:rsid w:val="00644331"/>
    <w:rsid w:val="006E479A"/>
    <w:rsid w:val="007B026B"/>
    <w:rsid w:val="007F6597"/>
    <w:rsid w:val="00834291"/>
    <w:rsid w:val="00886685"/>
    <w:rsid w:val="00894D54"/>
    <w:rsid w:val="0092629D"/>
    <w:rsid w:val="009D2E9E"/>
    <w:rsid w:val="00A37076"/>
    <w:rsid w:val="00A76C2E"/>
    <w:rsid w:val="00B878FB"/>
    <w:rsid w:val="00C61CBF"/>
    <w:rsid w:val="00C72ABC"/>
    <w:rsid w:val="00C82548"/>
    <w:rsid w:val="00CD67D5"/>
    <w:rsid w:val="00D804A7"/>
    <w:rsid w:val="00E47936"/>
    <w:rsid w:val="00ED3D13"/>
    <w:rsid w:val="00F035D1"/>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E9A3"/>
  <w15:docId w15:val="{25C73B39-2F16-45F2-90F4-C46ED32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mailto:ira068530@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8224</Words>
  <Characters>46882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34</cp:revision>
  <dcterms:created xsi:type="dcterms:W3CDTF">2023-05-18T19:57:00Z</dcterms:created>
  <dcterms:modified xsi:type="dcterms:W3CDTF">2023-12-18T13:25:00Z</dcterms:modified>
</cp:coreProperties>
</file>