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77777777" w:rsidR="00D40E20" w:rsidRDefault="00D40E20" w:rsidP="00D40E20">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58D95D13" w14:textId="77777777"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Хмельницька інфекційна лікарня</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379"/>
      </w:tblGrid>
      <w:tr w:rsidR="00D40E20" w:rsidRPr="00912256" w14:paraId="60EE5525" w14:textId="77777777" w:rsidTr="00666AEC">
        <w:tc>
          <w:tcPr>
            <w:tcW w:w="3931" w:type="dxa"/>
            <w:tcBorders>
              <w:top w:val="nil"/>
              <w:left w:val="nil"/>
              <w:bottom w:val="nil"/>
              <w:right w:val="nil"/>
            </w:tcBorders>
          </w:tcPr>
          <w:p w14:paraId="63EC7613" w14:textId="77777777" w:rsidR="00D40E20" w:rsidRPr="00860C9E" w:rsidRDefault="00D40E20" w:rsidP="001779BE">
            <w:pPr>
              <w:spacing w:line="264" w:lineRule="auto"/>
              <w:rPr>
                <w:b/>
                <w:bCs/>
                <w:sz w:val="28"/>
                <w:szCs w:val="28"/>
              </w:rPr>
            </w:pPr>
          </w:p>
        </w:tc>
        <w:tc>
          <w:tcPr>
            <w:tcW w:w="6379" w:type="dxa"/>
            <w:tcBorders>
              <w:top w:val="nil"/>
              <w:left w:val="nil"/>
              <w:bottom w:val="nil"/>
              <w:right w:val="nil"/>
            </w:tcBorders>
          </w:tcPr>
          <w:p w14:paraId="017A8FFF" w14:textId="77777777" w:rsidR="00D40E20" w:rsidRDefault="00D40E20" w:rsidP="001779BE">
            <w:pPr>
              <w:spacing w:line="264" w:lineRule="auto"/>
              <w:jc w:val="right"/>
              <w:rPr>
                <w:b/>
                <w:bCs/>
                <w:noProof/>
              </w:rPr>
            </w:pPr>
          </w:p>
          <w:p w14:paraId="55F2DBFD" w14:textId="77777777" w:rsidR="00D40E20" w:rsidRPr="00860C9E" w:rsidRDefault="00D40E20" w:rsidP="001779B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666AEC">
        <w:trPr>
          <w:trHeight w:val="669"/>
        </w:trPr>
        <w:tc>
          <w:tcPr>
            <w:tcW w:w="3931" w:type="dxa"/>
            <w:tcBorders>
              <w:top w:val="nil"/>
              <w:left w:val="nil"/>
              <w:bottom w:val="nil"/>
              <w:right w:val="nil"/>
            </w:tcBorders>
          </w:tcPr>
          <w:p w14:paraId="324568C0" w14:textId="77777777" w:rsidR="00D40E20" w:rsidRPr="00860C9E" w:rsidRDefault="00D40E20" w:rsidP="001779BE">
            <w:pPr>
              <w:spacing w:line="264" w:lineRule="auto"/>
              <w:rPr>
                <w:b/>
                <w:bCs/>
                <w:sz w:val="28"/>
                <w:szCs w:val="28"/>
              </w:rPr>
            </w:pPr>
            <w:r w:rsidRPr="00860C9E">
              <w:rPr>
                <w:b/>
                <w:bCs/>
                <w:sz w:val="28"/>
                <w:szCs w:val="28"/>
              </w:rPr>
              <w:t xml:space="preserve"> </w:t>
            </w:r>
            <w:r>
              <w:rPr>
                <w:b/>
                <w:bCs/>
                <w:sz w:val="28"/>
                <w:szCs w:val="28"/>
              </w:rPr>
              <w:t xml:space="preserve">                                   </w:t>
            </w:r>
          </w:p>
        </w:tc>
        <w:tc>
          <w:tcPr>
            <w:tcW w:w="6379" w:type="dxa"/>
            <w:tcBorders>
              <w:top w:val="nil"/>
              <w:left w:val="nil"/>
              <w:bottom w:val="nil"/>
              <w:right w:val="nil"/>
            </w:tcBorders>
          </w:tcPr>
          <w:p w14:paraId="2BD04E57" w14:textId="77777777" w:rsidR="00D40E20" w:rsidRDefault="00D40E20" w:rsidP="001779B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0625A905" w:rsidR="00D40E20" w:rsidRPr="00860C9E" w:rsidRDefault="00D40E20" w:rsidP="00D40E20">
            <w:pPr>
              <w:spacing w:line="264" w:lineRule="auto"/>
              <w:jc w:val="right"/>
              <w:rPr>
                <w:b/>
                <w:bCs/>
              </w:rPr>
            </w:pPr>
            <w:r>
              <w:rPr>
                <w:b/>
                <w:bCs/>
              </w:rPr>
              <w:t xml:space="preserve">                 Ганна СЛОБОДЯН</w:t>
            </w:r>
          </w:p>
        </w:tc>
      </w:tr>
      <w:tr w:rsidR="00B54B5B" w:rsidRPr="00B54B5B" w14:paraId="6A62AC53" w14:textId="77777777" w:rsidTr="00666AEC">
        <w:tc>
          <w:tcPr>
            <w:tcW w:w="3931" w:type="dxa"/>
            <w:tcBorders>
              <w:top w:val="nil"/>
              <w:left w:val="nil"/>
              <w:bottom w:val="nil"/>
              <w:right w:val="nil"/>
            </w:tcBorders>
          </w:tcPr>
          <w:p w14:paraId="202CA538" w14:textId="77777777" w:rsidR="00D40E20" w:rsidRPr="000E3D3D" w:rsidRDefault="00D40E20" w:rsidP="001779BE">
            <w:pPr>
              <w:spacing w:line="264" w:lineRule="auto"/>
              <w:rPr>
                <w:b/>
                <w:bCs/>
                <w:color w:val="FF0000"/>
              </w:rPr>
            </w:pPr>
          </w:p>
        </w:tc>
        <w:tc>
          <w:tcPr>
            <w:tcW w:w="6379" w:type="dxa"/>
            <w:tcBorders>
              <w:top w:val="nil"/>
              <w:left w:val="nil"/>
              <w:bottom w:val="nil"/>
              <w:right w:val="nil"/>
            </w:tcBorders>
          </w:tcPr>
          <w:p w14:paraId="6BCB1E9F" w14:textId="072520DB" w:rsidR="00D40E20" w:rsidRPr="00055C9A" w:rsidRDefault="00D40E20" w:rsidP="00DE5D20">
            <w:pPr>
              <w:spacing w:line="264" w:lineRule="auto"/>
              <w:jc w:val="right"/>
              <w:rPr>
                <w:b/>
                <w:bCs/>
                <w:lang w:val="ru-RU"/>
              </w:rPr>
            </w:pPr>
            <w:r w:rsidRPr="00055C9A">
              <w:rPr>
                <w:b/>
                <w:bCs/>
              </w:rPr>
              <w:t xml:space="preserve">                ПРОТОКОЛ № </w:t>
            </w:r>
            <w:r w:rsidR="00666AEC" w:rsidRPr="00055C9A">
              <w:rPr>
                <w:b/>
                <w:bCs/>
              </w:rPr>
              <w:t>1</w:t>
            </w:r>
            <w:r w:rsidR="00DE5D20" w:rsidRPr="00055C9A">
              <w:rPr>
                <w:b/>
                <w:bCs/>
              </w:rPr>
              <w:t>9</w:t>
            </w:r>
          </w:p>
        </w:tc>
      </w:tr>
      <w:tr w:rsidR="00D40E20" w:rsidRPr="00912256" w14:paraId="7BFE3A69" w14:textId="77777777" w:rsidTr="00666AEC">
        <w:tc>
          <w:tcPr>
            <w:tcW w:w="3931" w:type="dxa"/>
            <w:tcBorders>
              <w:top w:val="nil"/>
              <w:left w:val="nil"/>
              <w:bottom w:val="nil"/>
              <w:right w:val="nil"/>
            </w:tcBorders>
          </w:tcPr>
          <w:p w14:paraId="6679E203" w14:textId="77777777" w:rsidR="00D40E20" w:rsidRPr="000E3D3D" w:rsidRDefault="00D40E20" w:rsidP="001779BE">
            <w:pPr>
              <w:spacing w:line="264" w:lineRule="auto"/>
              <w:rPr>
                <w:b/>
                <w:bCs/>
                <w:color w:val="FF0000"/>
                <w:sz w:val="28"/>
                <w:szCs w:val="28"/>
              </w:rPr>
            </w:pPr>
          </w:p>
        </w:tc>
        <w:tc>
          <w:tcPr>
            <w:tcW w:w="6379" w:type="dxa"/>
            <w:tcBorders>
              <w:top w:val="nil"/>
              <w:left w:val="nil"/>
              <w:bottom w:val="nil"/>
              <w:right w:val="nil"/>
            </w:tcBorders>
          </w:tcPr>
          <w:p w14:paraId="6CE08293" w14:textId="5A775312" w:rsidR="00D40E20" w:rsidRPr="00055C9A" w:rsidRDefault="00D40E20" w:rsidP="00DE5D20">
            <w:pPr>
              <w:spacing w:line="264" w:lineRule="auto"/>
              <w:jc w:val="right"/>
              <w:rPr>
                <w:b/>
                <w:bCs/>
              </w:rPr>
            </w:pPr>
            <w:r w:rsidRPr="00055C9A">
              <w:rPr>
                <w:b/>
                <w:bCs/>
              </w:rPr>
              <w:t xml:space="preserve">                 від</w:t>
            </w:r>
            <w:r w:rsidRPr="00055C9A">
              <w:t xml:space="preserve"> </w:t>
            </w:r>
            <w:r w:rsidRPr="00055C9A">
              <w:rPr>
                <w:b/>
              </w:rPr>
              <w:t>«</w:t>
            </w:r>
            <w:r w:rsidR="00DE5D20" w:rsidRPr="00055C9A">
              <w:rPr>
                <w:b/>
              </w:rPr>
              <w:t>03</w:t>
            </w:r>
            <w:r w:rsidRPr="00055C9A">
              <w:rPr>
                <w:b/>
              </w:rPr>
              <w:t xml:space="preserve">» </w:t>
            </w:r>
            <w:r w:rsidR="00DE5D20" w:rsidRPr="00055C9A">
              <w:rPr>
                <w:b/>
              </w:rPr>
              <w:t>квітня</w:t>
            </w:r>
            <w:r w:rsidRPr="00055C9A">
              <w:rPr>
                <w:b/>
              </w:rPr>
              <w:t xml:space="preserve">  202</w:t>
            </w:r>
            <w:r w:rsidR="00D13C7F" w:rsidRPr="00055C9A">
              <w:rPr>
                <w:b/>
              </w:rPr>
              <w:t>4</w:t>
            </w:r>
            <w:r w:rsidR="001779BE" w:rsidRPr="00055C9A">
              <w:rPr>
                <w:b/>
              </w:rPr>
              <w:t xml:space="preserve"> </w:t>
            </w:r>
            <w:r w:rsidRPr="00055C9A">
              <w:rPr>
                <w:b/>
              </w:rPr>
              <w:t>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1779BE">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1779BE">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Pr="00DE5D20" w:rsidRDefault="009B33EB" w:rsidP="004B25E6">
      <w:pPr>
        <w:spacing w:line="264" w:lineRule="auto"/>
        <w:jc w:val="center"/>
        <w:rPr>
          <w:sz w:val="28"/>
          <w:szCs w:val="28"/>
        </w:rPr>
      </w:pPr>
      <w:r w:rsidRPr="00DE5D20">
        <w:rPr>
          <w:sz w:val="28"/>
          <w:szCs w:val="28"/>
        </w:rPr>
        <w:t xml:space="preserve">на закупівлю </w:t>
      </w:r>
      <w:r w:rsidR="00E77A48" w:rsidRPr="00DE5D20">
        <w:rPr>
          <w:sz w:val="28"/>
          <w:szCs w:val="28"/>
        </w:rPr>
        <w:t>товару:</w:t>
      </w:r>
      <w:r w:rsidR="00A67829" w:rsidRPr="00DE5D20">
        <w:rPr>
          <w:sz w:val="28"/>
          <w:szCs w:val="28"/>
        </w:rPr>
        <w:t xml:space="preserve"> </w:t>
      </w:r>
    </w:p>
    <w:p w14:paraId="3708DF3C" w14:textId="77777777" w:rsidR="00AC4D25" w:rsidRDefault="00AC4D25" w:rsidP="004B25E6">
      <w:pPr>
        <w:spacing w:line="264" w:lineRule="auto"/>
        <w:jc w:val="center"/>
        <w:rPr>
          <w:b/>
          <w:sz w:val="28"/>
          <w:szCs w:val="28"/>
        </w:rPr>
      </w:pPr>
    </w:p>
    <w:p w14:paraId="3788B191" w14:textId="6E192164" w:rsidR="00DE5D20" w:rsidRDefault="00DE5D20" w:rsidP="002A6E82">
      <w:pPr>
        <w:spacing w:line="264" w:lineRule="auto"/>
        <w:jc w:val="center"/>
        <w:rPr>
          <w:rFonts w:ascii="Calibri" w:eastAsia="Calibri" w:hAnsi="Calibri"/>
          <w:b/>
          <w:sz w:val="28"/>
          <w:szCs w:val="28"/>
          <w:lang w:eastAsia="en-US"/>
        </w:rPr>
      </w:pPr>
      <w:r w:rsidRPr="00DE5D20">
        <w:rPr>
          <w:rFonts w:ascii="Calibri" w:eastAsia="Calibri" w:hAnsi="Calibri"/>
          <w:b/>
          <w:sz w:val="28"/>
          <w:szCs w:val="28"/>
          <w:lang w:eastAsia="en-US"/>
        </w:rPr>
        <w:t>лабораторн</w:t>
      </w:r>
      <w:r w:rsidR="00055C9A">
        <w:rPr>
          <w:rFonts w:ascii="Calibri" w:eastAsia="Calibri" w:hAnsi="Calibri"/>
          <w:b/>
          <w:sz w:val="28"/>
          <w:szCs w:val="28"/>
          <w:lang w:eastAsia="en-US"/>
        </w:rPr>
        <w:t>і</w:t>
      </w:r>
      <w:r w:rsidRPr="00DE5D20">
        <w:rPr>
          <w:rFonts w:ascii="Calibri" w:eastAsia="Calibri" w:hAnsi="Calibri"/>
          <w:b/>
          <w:sz w:val="28"/>
          <w:szCs w:val="28"/>
          <w:lang w:eastAsia="en-US"/>
        </w:rPr>
        <w:t xml:space="preserve"> реактив</w:t>
      </w:r>
      <w:r w:rsidR="00055C9A">
        <w:rPr>
          <w:rFonts w:ascii="Calibri" w:eastAsia="Calibri" w:hAnsi="Calibri"/>
          <w:b/>
          <w:sz w:val="28"/>
          <w:szCs w:val="28"/>
          <w:lang w:eastAsia="en-US"/>
        </w:rPr>
        <w:t>и</w:t>
      </w:r>
      <w:r w:rsidRPr="00DE5D20">
        <w:rPr>
          <w:rFonts w:ascii="Calibri" w:eastAsia="Calibri" w:hAnsi="Calibri"/>
          <w:b/>
          <w:sz w:val="28"/>
          <w:szCs w:val="28"/>
          <w:lang w:eastAsia="en-US"/>
        </w:rPr>
        <w:t xml:space="preserve"> (набір реагентів EIA Tetanus Toxoid IgG) </w:t>
      </w:r>
    </w:p>
    <w:p w14:paraId="2ABCCCBE" w14:textId="77777777" w:rsidR="00DE5D20" w:rsidRPr="00DE5D20" w:rsidRDefault="00DE5D20" w:rsidP="002A6E82">
      <w:pPr>
        <w:spacing w:line="264" w:lineRule="auto"/>
        <w:jc w:val="center"/>
        <w:rPr>
          <w:rFonts w:ascii="Calibri" w:eastAsia="Calibri" w:hAnsi="Calibri"/>
          <w:b/>
          <w:sz w:val="28"/>
          <w:szCs w:val="28"/>
          <w:lang w:eastAsia="en-US"/>
        </w:rPr>
      </w:pPr>
    </w:p>
    <w:p w14:paraId="28075636" w14:textId="34209FFB" w:rsidR="00DE5D20" w:rsidRDefault="00DE5D20" w:rsidP="002A6E82">
      <w:pPr>
        <w:spacing w:line="264" w:lineRule="auto"/>
        <w:jc w:val="center"/>
        <w:rPr>
          <w:rFonts w:ascii="Calibri" w:eastAsia="Calibri" w:hAnsi="Calibri"/>
          <w:sz w:val="28"/>
          <w:szCs w:val="28"/>
          <w:lang w:eastAsia="en-US"/>
        </w:rPr>
      </w:pPr>
      <w:r w:rsidRPr="00DE5D20">
        <w:rPr>
          <w:rFonts w:ascii="Calibri" w:eastAsia="Calibri" w:hAnsi="Calibri"/>
          <w:sz w:val="28"/>
          <w:szCs w:val="28"/>
          <w:lang w:eastAsia="en-US"/>
        </w:rPr>
        <w:t>код ДК 021:2015 "Єдиний закупівельний словник" — 3369</w:t>
      </w:r>
      <w:r w:rsidR="00055C9A">
        <w:rPr>
          <w:rFonts w:ascii="Calibri" w:eastAsia="Calibri" w:hAnsi="Calibri"/>
          <w:sz w:val="28"/>
          <w:szCs w:val="28"/>
          <w:lang w:eastAsia="en-US"/>
        </w:rPr>
        <w:t xml:space="preserve">0000-3 Лікарські засоби різні; </w:t>
      </w:r>
      <w:r w:rsidRPr="00DE5D20">
        <w:rPr>
          <w:rFonts w:ascii="Calibri" w:eastAsia="Calibri" w:hAnsi="Calibri"/>
          <w:sz w:val="28"/>
          <w:szCs w:val="28"/>
          <w:lang w:eastAsia="en-US"/>
        </w:rPr>
        <w:t xml:space="preserve">33696500-0 - Лабораторні реактиви; </w:t>
      </w:r>
    </w:p>
    <w:p w14:paraId="79F041B5" w14:textId="3C833081" w:rsidR="00DE5D20" w:rsidRDefault="00DE5D20" w:rsidP="002A6E82">
      <w:pPr>
        <w:spacing w:line="264" w:lineRule="auto"/>
        <w:jc w:val="center"/>
        <w:rPr>
          <w:rFonts w:ascii="Calibri" w:eastAsia="Calibri" w:hAnsi="Calibri"/>
          <w:sz w:val="28"/>
          <w:szCs w:val="28"/>
          <w:lang w:eastAsia="en-US"/>
        </w:rPr>
      </w:pPr>
      <w:r w:rsidRPr="00DE5D20">
        <w:rPr>
          <w:rFonts w:ascii="Calibri" w:eastAsia="Calibri" w:hAnsi="Calibri"/>
          <w:sz w:val="28"/>
          <w:szCs w:val="28"/>
          <w:lang w:eastAsia="en-US"/>
        </w:rPr>
        <w:t>код НКМВ 024:2023 50874 Бактерія Clostridium tetani, антитіла класу імуноглобулін G (IgG) IVD (діагностика in vitro )</w:t>
      </w:r>
    </w:p>
    <w:p w14:paraId="0AB9AC46" w14:textId="77777777" w:rsidR="00DE5D20" w:rsidRDefault="00DE5D20" w:rsidP="002A6E82">
      <w:pPr>
        <w:spacing w:line="264" w:lineRule="auto"/>
        <w:jc w:val="center"/>
        <w:rPr>
          <w:rFonts w:ascii="Calibri" w:eastAsia="Calibri" w:hAnsi="Calibri"/>
          <w:sz w:val="28"/>
          <w:szCs w:val="28"/>
          <w:lang w:eastAsia="en-US"/>
        </w:rPr>
      </w:pPr>
    </w:p>
    <w:p w14:paraId="0FE8AB5E" w14:textId="77777777" w:rsidR="00DE5D20" w:rsidRDefault="00DE5D20" w:rsidP="002A6E82">
      <w:pPr>
        <w:spacing w:line="264" w:lineRule="auto"/>
        <w:jc w:val="center"/>
        <w:rPr>
          <w:rFonts w:ascii="Calibri" w:eastAsia="Calibri" w:hAnsi="Calibri"/>
          <w:sz w:val="28"/>
          <w:szCs w:val="28"/>
          <w:lang w:eastAsia="en-US"/>
        </w:rPr>
      </w:pPr>
    </w:p>
    <w:p w14:paraId="6C02FB34" w14:textId="77777777" w:rsidR="00DE5D20" w:rsidRDefault="00DE5D20" w:rsidP="002A6E82">
      <w:pPr>
        <w:spacing w:line="264" w:lineRule="auto"/>
        <w:jc w:val="center"/>
        <w:rPr>
          <w:rFonts w:ascii="Calibri" w:eastAsia="Calibri" w:hAnsi="Calibri"/>
          <w:sz w:val="28"/>
          <w:szCs w:val="28"/>
          <w:lang w:eastAsia="en-US"/>
        </w:rPr>
      </w:pPr>
    </w:p>
    <w:p w14:paraId="496BF3B9" w14:textId="77777777" w:rsidR="00DE5D20" w:rsidRDefault="00DE5D20" w:rsidP="002A6E82">
      <w:pPr>
        <w:spacing w:line="264" w:lineRule="auto"/>
        <w:jc w:val="center"/>
        <w:rPr>
          <w:rFonts w:ascii="Calibri" w:eastAsia="Calibri" w:hAnsi="Calibri"/>
          <w:sz w:val="28"/>
          <w:szCs w:val="28"/>
          <w:lang w:eastAsia="en-US"/>
        </w:rPr>
      </w:pPr>
    </w:p>
    <w:p w14:paraId="532719CA" w14:textId="1115C1D4" w:rsidR="009B33EB" w:rsidRDefault="009B33EB" w:rsidP="002A6E82">
      <w:pPr>
        <w:spacing w:line="264" w:lineRule="auto"/>
        <w:jc w:val="center"/>
        <w:rPr>
          <w:b/>
          <w:bCs/>
          <w:sz w:val="28"/>
          <w:szCs w:val="28"/>
          <w:u w:val="single"/>
          <w:lang w:eastAsia="uk-UA"/>
        </w:rPr>
      </w:pPr>
      <w:r w:rsidRPr="00602AC8">
        <w:rPr>
          <w:b/>
          <w:bCs/>
          <w:sz w:val="28"/>
          <w:szCs w:val="28"/>
          <w:lang w:eastAsia="uk-UA"/>
        </w:rPr>
        <w:t>за процедурою</w:t>
      </w:r>
      <w:r w:rsidR="001779BE">
        <w:rPr>
          <w:b/>
          <w:bCs/>
          <w:sz w:val="28"/>
          <w:szCs w:val="28"/>
          <w:lang w:eastAsia="uk-UA"/>
        </w:rPr>
        <w:t>:</w:t>
      </w:r>
      <w:r w:rsidR="007D2332">
        <w:rPr>
          <w:b/>
          <w:bCs/>
          <w:sz w:val="28"/>
          <w:szCs w:val="28"/>
          <w:lang w:eastAsia="uk-UA"/>
        </w:rPr>
        <w:t xml:space="preserve">  </w:t>
      </w:r>
      <w:r w:rsidRPr="004B25E6">
        <w:rPr>
          <w:b/>
          <w:bCs/>
          <w:sz w:val="28"/>
          <w:szCs w:val="28"/>
          <w:u w:val="single"/>
          <w:lang w:eastAsia="uk-UA"/>
        </w:rPr>
        <w:t xml:space="preserve">відкриті торги </w:t>
      </w:r>
    </w:p>
    <w:p w14:paraId="5C836476" w14:textId="77777777" w:rsidR="00B761A7" w:rsidRDefault="00B761A7" w:rsidP="002A6E82">
      <w:pPr>
        <w:spacing w:line="264" w:lineRule="auto"/>
        <w:jc w:val="center"/>
        <w:rPr>
          <w:b/>
          <w:bCs/>
          <w:sz w:val="28"/>
          <w:szCs w:val="28"/>
          <w:u w:val="single"/>
          <w:lang w:eastAsia="uk-UA"/>
        </w:rPr>
      </w:pPr>
    </w:p>
    <w:p w14:paraId="37B1F462" w14:textId="77777777" w:rsidR="00B761A7" w:rsidRDefault="00B761A7" w:rsidP="002A6E82">
      <w:pPr>
        <w:spacing w:line="264" w:lineRule="auto"/>
        <w:jc w:val="center"/>
        <w:rPr>
          <w:b/>
          <w:bCs/>
          <w:sz w:val="28"/>
          <w:szCs w:val="28"/>
          <w:u w:val="single"/>
          <w:lang w:eastAsia="uk-UA"/>
        </w:rPr>
      </w:pPr>
    </w:p>
    <w:p w14:paraId="40002A12" w14:textId="77777777" w:rsidR="00B761A7" w:rsidRDefault="00B761A7" w:rsidP="002A6E82">
      <w:pPr>
        <w:spacing w:line="264" w:lineRule="auto"/>
        <w:jc w:val="center"/>
        <w:rPr>
          <w:b/>
          <w:bCs/>
          <w:sz w:val="28"/>
          <w:szCs w:val="28"/>
          <w:u w:val="single"/>
          <w:lang w:eastAsia="uk-UA"/>
        </w:rPr>
      </w:pPr>
    </w:p>
    <w:p w14:paraId="571F38C4" w14:textId="77777777" w:rsidR="00B761A7" w:rsidRDefault="00B761A7" w:rsidP="002A6E82">
      <w:pPr>
        <w:spacing w:line="264" w:lineRule="auto"/>
        <w:jc w:val="center"/>
        <w:rPr>
          <w:b/>
          <w:bCs/>
          <w:sz w:val="28"/>
          <w:szCs w:val="28"/>
          <w:u w:val="single"/>
          <w:lang w:eastAsia="uk-UA"/>
        </w:rPr>
      </w:pPr>
    </w:p>
    <w:p w14:paraId="4D71E788" w14:textId="77777777" w:rsidR="00DE5D20" w:rsidRDefault="00DE5D20" w:rsidP="002A6E82">
      <w:pPr>
        <w:spacing w:line="264" w:lineRule="auto"/>
        <w:jc w:val="center"/>
        <w:rPr>
          <w:b/>
          <w:bCs/>
          <w:sz w:val="28"/>
          <w:szCs w:val="28"/>
          <w:u w:val="single"/>
          <w:lang w:eastAsia="uk-UA"/>
        </w:rPr>
      </w:pPr>
    </w:p>
    <w:p w14:paraId="25CC38C1" w14:textId="77777777" w:rsidR="00DE5D20" w:rsidRDefault="00DE5D20" w:rsidP="002A6E82">
      <w:pPr>
        <w:spacing w:line="264" w:lineRule="auto"/>
        <w:jc w:val="center"/>
        <w:rPr>
          <w:b/>
          <w:bCs/>
          <w:sz w:val="28"/>
          <w:szCs w:val="28"/>
          <w:u w:val="single"/>
          <w:lang w:eastAsia="uk-UA"/>
        </w:rPr>
      </w:pPr>
    </w:p>
    <w:p w14:paraId="26AA109E" w14:textId="77777777" w:rsidR="00DE5D20" w:rsidRDefault="00DE5D20" w:rsidP="002A6E82">
      <w:pPr>
        <w:spacing w:line="264" w:lineRule="auto"/>
        <w:jc w:val="center"/>
        <w:rPr>
          <w:b/>
          <w:bCs/>
          <w:sz w:val="28"/>
          <w:szCs w:val="28"/>
          <w:u w:val="single"/>
          <w:lang w:eastAsia="uk-UA"/>
        </w:rPr>
      </w:pPr>
    </w:p>
    <w:p w14:paraId="654C4255" w14:textId="77777777" w:rsidR="00DE5D20" w:rsidRDefault="00DE5D20" w:rsidP="002A6E82">
      <w:pPr>
        <w:spacing w:line="264" w:lineRule="auto"/>
        <w:jc w:val="center"/>
        <w:rPr>
          <w:b/>
          <w:bCs/>
          <w:sz w:val="28"/>
          <w:szCs w:val="28"/>
          <w:u w:val="single"/>
          <w:lang w:eastAsia="uk-UA"/>
        </w:rPr>
      </w:pPr>
    </w:p>
    <w:p w14:paraId="399994EA" w14:textId="77777777" w:rsidR="00DE5D20" w:rsidRDefault="00DE5D20" w:rsidP="002A6E82">
      <w:pPr>
        <w:spacing w:line="264" w:lineRule="auto"/>
        <w:jc w:val="center"/>
        <w:rPr>
          <w:b/>
          <w:bCs/>
          <w:sz w:val="28"/>
          <w:szCs w:val="28"/>
          <w:u w:val="single"/>
          <w:lang w:eastAsia="uk-UA"/>
        </w:rPr>
      </w:pPr>
    </w:p>
    <w:p w14:paraId="53F2AD46" w14:textId="77777777" w:rsidR="00DE5D20" w:rsidRPr="001779BE" w:rsidRDefault="00DE5D20" w:rsidP="002A6E82">
      <w:pPr>
        <w:spacing w:line="264" w:lineRule="auto"/>
        <w:jc w:val="center"/>
        <w:rPr>
          <w:b/>
          <w:bCs/>
          <w:sz w:val="28"/>
          <w:szCs w:val="28"/>
          <w:u w:val="single"/>
          <w:lang w:eastAsia="uk-UA"/>
        </w:rPr>
      </w:pPr>
    </w:p>
    <w:p w14:paraId="33DFD435" w14:textId="77777777" w:rsidR="00F836D2" w:rsidRDefault="00F836D2" w:rsidP="009B33EB">
      <w:pPr>
        <w:spacing w:line="264" w:lineRule="auto"/>
        <w:jc w:val="center"/>
        <w:rPr>
          <w:b/>
          <w:bCs/>
          <w:sz w:val="28"/>
          <w:szCs w:val="28"/>
          <w:lang w:eastAsia="uk-UA"/>
        </w:rPr>
      </w:pPr>
    </w:p>
    <w:p w14:paraId="637D04CB" w14:textId="4F2C2F96"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sidRPr="001779BE">
        <w:rPr>
          <w:b/>
          <w:sz w:val="28"/>
          <w:szCs w:val="28"/>
        </w:rPr>
        <w:t>Хмельницький</w:t>
      </w:r>
      <w:r>
        <w:rPr>
          <w:b/>
          <w:bCs/>
          <w:sz w:val="28"/>
          <w:szCs w:val="28"/>
        </w:rPr>
        <w:t xml:space="preserve"> </w:t>
      </w:r>
      <w:r w:rsidR="004B25E6">
        <w:rPr>
          <w:b/>
          <w:bCs/>
          <w:sz w:val="28"/>
          <w:szCs w:val="28"/>
        </w:rPr>
        <w:t>–</w:t>
      </w:r>
      <w:r>
        <w:rPr>
          <w:b/>
          <w:bCs/>
          <w:sz w:val="28"/>
          <w:szCs w:val="28"/>
        </w:rPr>
        <w:t xml:space="preserve"> 202</w:t>
      </w:r>
      <w:r w:rsidR="00D13C7F">
        <w:rPr>
          <w:b/>
          <w:bCs/>
          <w:sz w:val="28"/>
          <w:szCs w:val="28"/>
        </w:rPr>
        <w:t>4</w:t>
      </w:r>
    </w:p>
    <w:p w14:paraId="0FEE9739" w14:textId="77777777" w:rsidR="00D13C7F" w:rsidRDefault="00D13C7F" w:rsidP="009B33EB">
      <w:pPr>
        <w:spacing w:line="264" w:lineRule="auto"/>
        <w:jc w:val="center"/>
        <w:rPr>
          <w:b/>
          <w:bCs/>
          <w:sz w:val="28"/>
          <w:szCs w:val="28"/>
        </w:rPr>
      </w:pPr>
    </w:p>
    <w:p w14:paraId="6D2A6B13" w14:textId="77777777" w:rsidR="00D13C7F" w:rsidRDefault="00D13C7F" w:rsidP="009B33EB">
      <w:pPr>
        <w:spacing w:line="264" w:lineRule="auto"/>
        <w:jc w:val="center"/>
        <w:rPr>
          <w:b/>
          <w:bCs/>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2C65B8">
        <w:trPr>
          <w:trHeight w:val="522"/>
          <w:jc w:val="center"/>
        </w:trPr>
        <w:tc>
          <w:tcPr>
            <w:tcW w:w="844"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838"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2C65B8">
        <w:trPr>
          <w:trHeight w:val="1069"/>
          <w:jc w:val="center"/>
        </w:trPr>
        <w:tc>
          <w:tcPr>
            <w:tcW w:w="844"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82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009"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2C65B8">
        <w:trPr>
          <w:trHeight w:val="522"/>
          <w:jc w:val="center"/>
        </w:trPr>
        <w:tc>
          <w:tcPr>
            <w:tcW w:w="844"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82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009"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2C65B8">
        <w:trPr>
          <w:trHeight w:val="755"/>
          <w:jc w:val="center"/>
        </w:trPr>
        <w:tc>
          <w:tcPr>
            <w:tcW w:w="844"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82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009" w:type="dxa"/>
            <w:shd w:val="clear" w:color="auto" w:fill="auto"/>
          </w:tcPr>
          <w:p w14:paraId="537E5B5E" w14:textId="2100B7B7" w:rsidR="00E854C9" w:rsidRPr="00A05EBE" w:rsidRDefault="00BB3E84" w:rsidP="00A05EBE">
            <w:pPr>
              <w:rPr>
                <w:b/>
              </w:rPr>
            </w:pPr>
            <w:r w:rsidRPr="00BB3E84">
              <w:rPr>
                <w:b/>
              </w:rPr>
              <w:t>Комунальне підприємство «Хмельницька інфекційна лікарня» Хмельницької міської ради</w:t>
            </w:r>
          </w:p>
        </w:tc>
      </w:tr>
      <w:tr w:rsidR="00790F84" w:rsidRPr="006B4622" w14:paraId="6355E149" w14:textId="77777777" w:rsidTr="002C65B8">
        <w:trPr>
          <w:trHeight w:val="522"/>
          <w:jc w:val="center"/>
        </w:trPr>
        <w:tc>
          <w:tcPr>
            <w:tcW w:w="844"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82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009" w:type="dxa"/>
            <w:shd w:val="clear" w:color="auto" w:fill="auto"/>
          </w:tcPr>
          <w:p w14:paraId="032FFEFD" w14:textId="28FE0777" w:rsidR="00790F84" w:rsidRPr="00A23DE0" w:rsidRDefault="00BB3E84" w:rsidP="00BD796E">
            <w:pPr>
              <w:spacing w:line="276" w:lineRule="auto"/>
            </w:pPr>
            <w:r w:rsidRPr="00BB3E84">
              <w:t>2900</w:t>
            </w:r>
            <w:r w:rsidR="00BD796E">
              <w:t>8,</w:t>
            </w:r>
            <w:r w:rsidRPr="00BB3E84">
              <w:t xml:space="preserve"> місто Хмельницький, вулиця Сковороди, будинок 17</w:t>
            </w:r>
          </w:p>
        </w:tc>
      </w:tr>
      <w:tr w:rsidR="00790F84" w:rsidRPr="006B4622" w14:paraId="207B0887" w14:textId="77777777" w:rsidTr="002C65B8">
        <w:trPr>
          <w:trHeight w:val="522"/>
          <w:jc w:val="center"/>
        </w:trPr>
        <w:tc>
          <w:tcPr>
            <w:tcW w:w="844"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82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009" w:type="dxa"/>
            <w:shd w:val="clear" w:color="auto" w:fill="auto"/>
          </w:tcPr>
          <w:p w14:paraId="53F56EA9" w14:textId="77777777" w:rsidR="005060AA" w:rsidRPr="005060AA" w:rsidRDefault="005060AA" w:rsidP="005060AA">
            <w:pPr>
              <w:spacing w:line="276" w:lineRule="auto"/>
              <w:rPr>
                <w:bCs/>
                <w:lang w:val="ru-RU"/>
              </w:rPr>
            </w:pPr>
            <w:r w:rsidRPr="005060AA">
              <w:rPr>
                <w:bCs/>
                <w:lang w:val="ru-RU"/>
              </w:rPr>
              <w:t xml:space="preserve">З питань, пов’язаних з підготовкою тендерних пропозицій учасники процедури закупівлі (далі – Учасники) можуть звертатися до: </w:t>
            </w:r>
          </w:p>
          <w:p w14:paraId="7223B426" w14:textId="77777777" w:rsidR="00BB3E84" w:rsidRPr="00BB3E84" w:rsidRDefault="00BB3E84" w:rsidP="00BB3E84">
            <w:pPr>
              <w:spacing w:line="276" w:lineRule="auto"/>
              <w:rPr>
                <w:bCs/>
                <w:lang w:val="ru-RU"/>
              </w:rPr>
            </w:pPr>
            <w:r w:rsidRPr="00BB3E84">
              <w:rPr>
                <w:bCs/>
                <w:lang w:val="ru-RU"/>
              </w:rPr>
              <w:t>Ганна Слободян – уповноважена особа, бухгалтер</w:t>
            </w:r>
          </w:p>
          <w:p w14:paraId="32A935A0" w14:textId="5EC3170E" w:rsidR="00790F84" w:rsidRPr="00666AEC" w:rsidRDefault="00BB3E84" w:rsidP="00BB3E84">
            <w:pPr>
              <w:spacing w:line="276" w:lineRule="auto"/>
              <w:rPr>
                <w:lang w:val="ru-RU"/>
              </w:rPr>
            </w:pPr>
            <w:r w:rsidRPr="00BB3E84">
              <w:rPr>
                <w:bCs/>
                <w:lang w:val="ru-RU"/>
              </w:rPr>
              <w:t xml:space="preserve">телефон : (0382) 70-43-81. </w:t>
            </w:r>
            <w:r w:rsidRPr="008048EF">
              <w:rPr>
                <w:bCs/>
                <w:lang w:val="en-US"/>
              </w:rPr>
              <w:t>E</w:t>
            </w:r>
            <w:r w:rsidRPr="00666AEC">
              <w:rPr>
                <w:bCs/>
                <w:lang w:val="ru-RU"/>
              </w:rPr>
              <w:t>-</w:t>
            </w:r>
            <w:r w:rsidRPr="008048EF">
              <w:rPr>
                <w:bCs/>
                <w:lang w:val="en-US"/>
              </w:rPr>
              <w:t>mail</w:t>
            </w:r>
            <w:r w:rsidRPr="00666AEC">
              <w:rPr>
                <w:bCs/>
                <w:lang w:val="ru-RU"/>
              </w:rPr>
              <w:t xml:space="preserve">: </w:t>
            </w:r>
            <w:r w:rsidRPr="008048EF">
              <w:rPr>
                <w:bCs/>
                <w:lang w:val="en-US"/>
              </w:rPr>
              <w:t>buhgalter</w:t>
            </w:r>
            <w:r w:rsidRPr="00666AEC">
              <w:rPr>
                <w:bCs/>
                <w:lang w:val="ru-RU"/>
              </w:rPr>
              <w:t>_</w:t>
            </w:r>
            <w:r w:rsidRPr="008048EF">
              <w:rPr>
                <w:bCs/>
                <w:lang w:val="en-US"/>
              </w:rPr>
              <w:t>hmil</w:t>
            </w:r>
            <w:r w:rsidRPr="00666AEC">
              <w:rPr>
                <w:bCs/>
                <w:lang w:val="ru-RU"/>
              </w:rPr>
              <w:t>@</w:t>
            </w:r>
            <w:r w:rsidRPr="008048EF">
              <w:rPr>
                <w:bCs/>
                <w:lang w:val="en-US"/>
              </w:rPr>
              <w:t>ukr</w:t>
            </w:r>
            <w:r w:rsidRPr="00666AEC">
              <w:rPr>
                <w:bCs/>
                <w:lang w:val="ru-RU"/>
              </w:rPr>
              <w:t>.</w:t>
            </w:r>
            <w:r w:rsidRPr="008048EF">
              <w:rPr>
                <w:bCs/>
                <w:lang w:val="en-US"/>
              </w:rPr>
              <w:t>net</w:t>
            </w:r>
          </w:p>
        </w:tc>
      </w:tr>
      <w:tr w:rsidR="00790F84" w:rsidRPr="006B4622" w14:paraId="20542619" w14:textId="77777777" w:rsidTr="002C65B8">
        <w:trPr>
          <w:trHeight w:val="522"/>
          <w:jc w:val="center"/>
        </w:trPr>
        <w:tc>
          <w:tcPr>
            <w:tcW w:w="844"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82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009"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2C65B8">
        <w:trPr>
          <w:trHeight w:val="522"/>
          <w:jc w:val="center"/>
        </w:trPr>
        <w:tc>
          <w:tcPr>
            <w:tcW w:w="844"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82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009"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2C65B8">
        <w:trPr>
          <w:trHeight w:val="522"/>
          <w:jc w:val="center"/>
        </w:trPr>
        <w:tc>
          <w:tcPr>
            <w:tcW w:w="844"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82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009" w:type="dxa"/>
            <w:shd w:val="clear" w:color="auto" w:fill="auto"/>
          </w:tcPr>
          <w:p w14:paraId="527D697D" w14:textId="6B976551" w:rsidR="00DE5D20" w:rsidRDefault="00DE5D20" w:rsidP="00166254">
            <w:pPr>
              <w:spacing w:line="276" w:lineRule="auto"/>
              <w:jc w:val="both"/>
              <w:rPr>
                <w:rFonts w:eastAsia="Andale Sans UI"/>
                <w:kern w:val="1"/>
              </w:rPr>
            </w:pPr>
            <w:r>
              <w:rPr>
                <w:rFonts w:eastAsia="Andale Sans UI"/>
                <w:kern w:val="1"/>
              </w:rPr>
              <w:t>Л</w:t>
            </w:r>
            <w:r w:rsidRPr="00DE5D20">
              <w:rPr>
                <w:rFonts w:eastAsia="Andale Sans UI"/>
                <w:kern w:val="1"/>
              </w:rPr>
              <w:t>абораторн</w:t>
            </w:r>
            <w:r w:rsidR="00055C9A">
              <w:rPr>
                <w:rFonts w:eastAsia="Andale Sans UI"/>
                <w:kern w:val="1"/>
              </w:rPr>
              <w:t>і</w:t>
            </w:r>
            <w:r w:rsidRPr="00DE5D20">
              <w:rPr>
                <w:rFonts w:eastAsia="Andale Sans UI"/>
                <w:kern w:val="1"/>
              </w:rPr>
              <w:t xml:space="preserve"> реактив</w:t>
            </w:r>
            <w:r w:rsidR="00055C9A">
              <w:rPr>
                <w:rFonts w:eastAsia="Andale Sans UI"/>
                <w:kern w:val="1"/>
              </w:rPr>
              <w:t>и</w:t>
            </w:r>
            <w:r w:rsidRPr="00DE5D20">
              <w:rPr>
                <w:rFonts w:eastAsia="Andale Sans UI"/>
                <w:kern w:val="1"/>
              </w:rPr>
              <w:t xml:space="preserve"> (набір реа</w:t>
            </w:r>
            <w:r>
              <w:rPr>
                <w:rFonts w:eastAsia="Andale Sans UI"/>
                <w:kern w:val="1"/>
              </w:rPr>
              <w:t xml:space="preserve">гентів EIA Tetanus Toxoid IgG) </w:t>
            </w:r>
            <w:r w:rsidRPr="00DE5D20">
              <w:rPr>
                <w:rFonts w:eastAsia="Andale Sans UI"/>
                <w:kern w:val="1"/>
              </w:rPr>
              <w:t>код ДК 021:2015 "Єдиний закупівельний словник" — 336</w:t>
            </w:r>
            <w:r w:rsidR="00055C9A">
              <w:rPr>
                <w:rFonts w:eastAsia="Andale Sans UI"/>
                <w:kern w:val="1"/>
              </w:rPr>
              <w:t xml:space="preserve">90000-3 Лікарські засоби різні; </w:t>
            </w:r>
            <w:r w:rsidRPr="00DE5D20">
              <w:rPr>
                <w:rFonts w:eastAsia="Andale Sans UI"/>
                <w:kern w:val="1"/>
              </w:rPr>
              <w:t xml:space="preserve">33696500-0 - Лабораторні реактиви; </w:t>
            </w:r>
          </w:p>
          <w:p w14:paraId="68958575" w14:textId="3044BF0C" w:rsidR="00D717CF" w:rsidRPr="00BE2874" w:rsidRDefault="00DE5D20" w:rsidP="00166254">
            <w:pPr>
              <w:spacing w:line="276" w:lineRule="auto"/>
              <w:jc w:val="both"/>
              <w:rPr>
                <w:rFonts w:eastAsia="Andale Sans UI"/>
                <w:kern w:val="1"/>
              </w:rPr>
            </w:pPr>
            <w:r w:rsidRPr="00DE5D20">
              <w:rPr>
                <w:rFonts w:eastAsia="Andale Sans UI"/>
                <w:kern w:val="1"/>
              </w:rPr>
              <w:t>код НКМВ 024:2023 50874 Бактерія Clostridium tetani, антитіла класу імуноглобулін G (IgG) IVD (діагностика in vitro )</w:t>
            </w:r>
            <w:r w:rsidR="00350008" w:rsidRPr="00350008">
              <w:rPr>
                <w:rFonts w:eastAsia="Andale Sans UI"/>
                <w:kern w:val="1"/>
              </w:rPr>
              <w:t>очищення приладу/ аналізатора IVD (діагностика in vitro )</w:t>
            </w:r>
          </w:p>
        </w:tc>
      </w:tr>
      <w:tr w:rsidR="00790F84" w:rsidRPr="006B4622" w14:paraId="733542AF" w14:textId="77777777" w:rsidTr="002C65B8">
        <w:trPr>
          <w:trHeight w:val="522"/>
          <w:jc w:val="center"/>
        </w:trPr>
        <w:tc>
          <w:tcPr>
            <w:tcW w:w="844"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82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009"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2C65B8">
        <w:trPr>
          <w:trHeight w:val="522"/>
          <w:jc w:val="center"/>
        </w:trPr>
        <w:tc>
          <w:tcPr>
            <w:tcW w:w="844"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82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009"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3B908642" w:rsidR="00CC5AC4" w:rsidRDefault="00CC5AC4" w:rsidP="009B33EB">
            <w:r>
              <w:rPr>
                <w:lang w:val="ru-RU"/>
              </w:rPr>
              <w:t xml:space="preserve">Місце поставки: </w:t>
            </w:r>
            <w:r w:rsidR="005060AA">
              <w:t>290</w:t>
            </w:r>
            <w:r w:rsidR="00F704BB">
              <w:t>00,</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D40E20">
              <w:t>Григорія Сковороди,17</w:t>
            </w:r>
          </w:p>
          <w:p w14:paraId="2CF2A857" w14:textId="77777777" w:rsidR="00E47F23" w:rsidRPr="0034758D" w:rsidRDefault="00E47F23" w:rsidP="00CC5AC4"/>
        </w:tc>
      </w:tr>
      <w:tr w:rsidR="00E47F23" w:rsidRPr="006B4622" w14:paraId="24483738" w14:textId="77777777" w:rsidTr="002C65B8">
        <w:trPr>
          <w:trHeight w:val="891"/>
          <w:jc w:val="center"/>
        </w:trPr>
        <w:tc>
          <w:tcPr>
            <w:tcW w:w="844"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82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009" w:type="dxa"/>
            <w:shd w:val="clear" w:color="auto" w:fill="auto"/>
          </w:tcPr>
          <w:p w14:paraId="2B973434" w14:textId="6C8DC5B0"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2C6ACC">
              <w:rPr>
                <w:b/>
                <w:lang w:val="uk-UA"/>
              </w:rPr>
              <w:t>3</w:t>
            </w:r>
            <w:r w:rsidR="001779BE">
              <w:rPr>
                <w:b/>
                <w:lang w:val="uk-UA"/>
              </w:rPr>
              <w:t>1</w:t>
            </w:r>
            <w:r>
              <w:rPr>
                <w:b/>
                <w:lang w:val="uk-UA"/>
              </w:rPr>
              <w:t>.</w:t>
            </w:r>
            <w:r w:rsidR="001779BE">
              <w:rPr>
                <w:b/>
                <w:lang w:val="uk-UA"/>
              </w:rPr>
              <w:t>12</w:t>
            </w:r>
            <w:r>
              <w:rPr>
                <w:b/>
                <w:lang w:val="uk-UA"/>
              </w:rPr>
              <w:t>.202</w:t>
            </w:r>
            <w:r w:rsidR="00D13C7F">
              <w:rPr>
                <w:b/>
                <w:lang w:val="uk-UA"/>
              </w:rPr>
              <w:t>4</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2C65B8">
        <w:trPr>
          <w:trHeight w:val="522"/>
          <w:jc w:val="center"/>
        </w:trPr>
        <w:tc>
          <w:tcPr>
            <w:tcW w:w="844"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82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009"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w:t>
            </w:r>
            <w:r w:rsidR="00D620D2" w:rsidRPr="00870B36">
              <w:lastRenderedPageBreak/>
              <w:t>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766B1E32"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w:t>
            </w:r>
            <w:r w:rsidR="002C65B8">
              <w:rPr>
                <w:rFonts w:ascii="Times New Roman CYR" w:hAnsi="Times New Roman CYR" w:cs="Times New Roman CYR"/>
                <w:lang w:eastAsia="ar-SA"/>
              </w:rPr>
              <w:t xml:space="preserve"> </w:t>
            </w:r>
            <w:r w:rsidRPr="007D2332">
              <w:rPr>
                <w:rFonts w:ascii="Times New Roman CYR" w:hAnsi="Times New Roman CYR" w:cs="Times New Roman CYR"/>
                <w:lang w:eastAsia="ar-SA"/>
              </w:rPr>
              <w:t>— резидентів Російської Федерації/Республіки Білорусь</w:t>
            </w:r>
            <w:r w:rsidR="005865D5">
              <w:rPr>
                <w:rFonts w:ascii="Times New Roman CYR" w:hAnsi="Times New Roman CYR" w:cs="Times New Roman CYR"/>
                <w:lang w:eastAsia="ar-SA"/>
              </w:rPr>
              <w:t xml:space="preserve">/ </w:t>
            </w:r>
            <w:r w:rsidR="005865D5" w:rsidRPr="005865D5">
              <w:rPr>
                <w:rFonts w:ascii="Times New Roman CYR" w:hAnsi="Times New Roman CYR" w:cs="Times New Roman CYR"/>
                <w:lang w:eastAsia="ar-SA"/>
              </w:rPr>
              <w:t>Ісламської Республіки Іран</w:t>
            </w:r>
            <w:r w:rsidR="005865D5">
              <w:rPr>
                <w:rFonts w:ascii="Times New Roman CYR" w:hAnsi="Times New Roman CYR" w:cs="Times New Roman CYR"/>
                <w:lang w:eastAsia="ar-SA"/>
              </w:rPr>
              <w:t xml:space="preserve">, </w:t>
            </w:r>
            <w:r w:rsidRPr="007D2332">
              <w:rPr>
                <w:rFonts w:ascii="Times New Roman CYR" w:hAnsi="Times New Roman CYR" w:cs="Times New Roman CYR"/>
                <w:lang w:eastAsia="ar-S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 юридичних осіб, кінцевими бенефіціарними власниками (власниками) яких є резиденти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та/або у фізичних осіб (фізичних осіб —підприємців) — резидентів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2C65B8">
        <w:trPr>
          <w:trHeight w:val="522"/>
          <w:jc w:val="center"/>
        </w:trPr>
        <w:tc>
          <w:tcPr>
            <w:tcW w:w="844"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82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 xml:space="preserve">Інформація про валюту, у якій повинно бути розраховано та зазначено ціну </w:t>
            </w:r>
            <w:r w:rsidRPr="006B4622">
              <w:rPr>
                <w:b/>
                <w:lang w:eastAsia="uk-UA"/>
              </w:rPr>
              <w:lastRenderedPageBreak/>
              <w:t>тендерної пропозиції</w:t>
            </w:r>
          </w:p>
        </w:tc>
        <w:tc>
          <w:tcPr>
            <w:tcW w:w="7009"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lastRenderedPageBreak/>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2C65B8">
        <w:trPr>
          <w:trHeight w:val="1658"/>
          <w:jc w:val="center"/>
        </w:trPr>
        <w:tc>
          <w:tcPr>
            <w:tcW w:w="844"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82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009"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w:t>
            </w:r>
            <w:r w:rsidRPr="00AE4089">
              <w:rPr>
                <w:rFonts w:ascii="Times New Roman" w:hAnsi="Times New Roman"/>
                <w:sz w:val="24"/>
                <w:lang w:eastAsia="ru-RU"/>
              </w:rPr>
              <w:lastRenderedPageBreak/>
              <w:t>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2C65B8">
        <w:trPr>
          <w:trHeight w:val="1657"/>
          <w:jc w:val="center"/>
        </w:trPr>
        <w:tc>
          <w:tcPr>
            <w:tcW w:w="844"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82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09"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2C65B8">
        <w:trPr>
          <w:trHeight w:val="5485"/>
          <w:jc w:val="center"/>
        </w:trPr>
        <w:tc>
          <w:tcPr>
            <w:tcW w:w="844"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82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009"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2C65B8">
        <w:trPr>
          <w:trHeight w:val="522"/>
          <w:jc w:val="center"/>
        </w:trPr>
        <w:tc>
          <w:tcPr>
            <w:tcW w:w="844"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82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009"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6A033C" w:rsidRPr="006A033C">
              <w:rPr>
                <w:rFonts w:ascii="Times New Roman" w:hAnsi="Times New Roman"/>
                <w:sz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2C65B8">
        <w:trPr>
          <w:trHeight w:val="522"/>
          <w:jc w:val="center"/>
        </w:trPr>
        <w:tc>
          <w:tcPr>
            <w:tcW w:w="844"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82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009"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 про створення об’єднання (у разі якщо тендерна пропозиція подається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w:t>
            </w:r>
            <w:r w:rsidR="005616F8" w:rsidRPr="00322954">
              <w:rPr>
                <w:rFonts w:ascii="Times New Roman" w:hAnsi="Times New Roman" w:cs="Times New Roman"/>
                <w:sz w:val="24"/>
                <w:szCs w:val="24"/>
                <w:lang w:val="uk-UA"/>
              </w:rPr>
              <w:lastRenderedPageBreak/>
              <w:t>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інших документів та / або інформації визначені тендерною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w:t>
            </w:r>
            <w:r w:rsidR="00277370">
              <w:rPr>
                <w:color w:val="000000"/>
              </w:rPr>
              <w:lastRenderedPageBreak/>
              <w:t>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уживання великої літери;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Pr>
                <w:color w:val="000000"/>
              </w:rPr>
              <w:lastRenderedPageBreak/>
              <w:t>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2C65B8">
        <w:trPr>
          <w:trHeight w:val="410"/>
          <w:jc w:val="center"/>
        </w:trPr>
        <w:tc>
          <w:tcPr>
            <w:tcW w:w="844"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82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009"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2C65B8">
        <w:trPr>
          <w:trHeight w:val="522"/>
          <w:jc w:val="center"/>
        </w:trPr>
        <w:tc>
          <w:tcPr>
            <w:tcW w:w="844"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82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009"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2C65B8">
        <w:trPr>
          <w:trHeight w:val="522"/>
          <w:jc w:val="center"/>
        </w:trPr>
        <w:tc>
          <w:tcPr>
            <w:tcW w:w="844"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82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009"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00465466">
              <w:rPr>
                <w:color w:val="000000"/>
              </w:rPr>
              <w:lastRenderedPageBreak/>
              <w:t>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2C65B8">
        <w:trPr>
          <w:trHeight w:val="522"/>
          <w:jc w:val="center"/>
        </w:trPr>
        <w:tc>
          <w:tcPr>
            <w:tcW w:w="844"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82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009"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7A0D0E">
              <w:rPr>
                <w:color w:val="000000"/>
                <w:shd w:val="solid" w:color="FFFFFF" w:fill="FFFFFF"/>
              </w:rPr>
              <w:lastRenderedPageBreak/>
              <w:t>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sidRPr="007A0D0E">
              <w:rPr>
                <w:color w:val="000000"/>
                <w:shd w:val="solid" w:color="FFFFFF" w:fill="FFFFFF"/>
              </w:rPr>
              <w:lastRenderedPageBreak/>
              <w:t xml:space="preserve">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w:t>
            </w:r>
            <w:r w:rsidRPr="00134FD3">
              <w:rPr>
                <w:color w:val="000000"/>
                <w:shd w:val="solid" w:color="FFFFFF" w:fill="FFFFFF"/>
              </w:rPr>
              <w:lastRenderedPageBreak/>
              <w:t>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 xml:space="preserve">3.5.12. Учасник нерезидент повинен надати зазначені документи з урахуванням особливостей законодавства його країни </w:t>
            </w:r>
            <w:r w:rsidRPr="00134FD3">
              <w:rPr>
                <w:color w:val="000000"/>
                <w:shd w:val="solid" w:color="FFFFFF" w:fill="FFFFFF"/>
              </w:rPr>
              <w:lastRenderedPageBreak/>
              <w:t>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2C65B8">
        <w:trPr>
          <w:trHeight w:val="522"/>
          <w:jc w:val="center"/>
        </w:trPr>
        <w:tc>
          <w:tcPr>
            <w:tcW w:w="844"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82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009"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w:t>
            </w:r>
            <w:r w:rsidRPr="00870B36">
              <w:rPr>
                <w:shd w:val="clear" w:color="auto" w:fill="FFFFFF"/>
              </w:rPr>
              <w:lastRenderedPageBreak/>
              <w:t>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2C65B8">
        <w:trPr>
          <w:trHeight w:val="522"/>
          <w:jc w:val="center"/>
        </w:trPr>
        <w:tc>
          <w:tcPr>
            <w:tcW w:w="844"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82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09"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2C65B8">
        <w:trPr>
          <w:trHeight w:val="522"/>
          <w:jc w:val="center"/>
        </w:trPr>
        <w:tc>
          <w:tcPr>
            <w:tcW w:w="844"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82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009"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закупівлі є товар</w:t>
            </w:r>
          </w:p>
        </w:tc>
      </w:tr>
      <w:tr w:rsidR="0086338D" w:rsidRPr="006B4622" w14:paraId="0B5BE59B" w14:textId="77777777" w:rsidTr="002C65B8">
        <w:trPr>
          <w:trHeight w:val="1118"/>
          <w:jc w:val="center"/>
        </w:trPr>
        <w:tc>
          <w:tcPr>
            <w:tcW w:w="844"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82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009"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2C65B8">
        <w:trPr>
          <w:trHeight w:val="1117"/>
          <w:jc w:val="center"/>
        </w:trPr>
        <w:tc>
          <w:tcPr>
            <w:tcW w:w="844"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82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009"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2C65B8">
        <w:trPr>
          <w:trHeight w:val="522"/>
          <w:jc w:val="center"/>
        </w:trPr>
        <w:tc>
          <w:tcPr>
            <w:tcW w:w="844"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82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009" w:type="dxa"/>
            <w:shd w:val="clear" w:color="auto" w:fill="auto"/>
          </w:tcPr>
          <w:p w14:paraId="537CCA11" w14:textId="08062CB4" w:rsidR="0086338D" w:rsidRPr="009B7CB7"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9B7CB7">
              <w:rPr>
                <w:b/>
                <w:lang w:val="ru-RU"/>
              </w:rPr>
              <w:t>«</w:t>
            </w:r>
            <w:r w:rsidR="00DE5D20">
              <w:rPr>
                <w:b/>
                <w:lang w:val="ru-RU"/>
              </w:rPr>
              <w:t>1</w:t>
            </w:r>
            <w:r w:rsidR="000849B0">
              <w:rPr>
                <w:b/>
                <w:lang w:val="ru-RU"/>
              </w:rPr>
              <w:t>1</w:t>
            </w:r>
            <w:bookmarkStart w:id="7" w:name="_GoBack"/>
            <w:bookmarkEnd w:id="7"/>
            <w:r w:rsidRPr="009B7CB7">
              <w:rPr>
                <w:b/>
                <w:lang w:val="ru-RU"/>
              </w:rPr>
              <w:t xml:space="preserve">» </w:t>
            </w:r>
            <w:r w:rsidR="009B7CB7" w:rsidRPr="009B7CB7">
              <w:rPr>
                <w:b/>
                <w:lang w:val="ru-RU"/>
              </w:rPr>
              <w:t>квітня</w:t>
            </w:r>
            <w:r w:rsidR="002C65B8" w:rsidRPr="009B7CB7">
              <w:rPr>
                <w:b/>
                <w:lang w:val="ru-RU"/>
              </w:rPr>
              <w:t xml:space="preserve"> </w:t>
            </w:r>
            <w:r w:rsidRPr="009B7CB7">
              <w:rPr>
                <w:b/>
              </w:rPr>
              <w:t>202</w:t>
            </w:r>
            <w:r w:rsidR="00212FF4" w:rsidRPr="009B7CB7">
              <w:rPr>
                <w:b/>
              </w:rPr>
              <w:t>4</w:t>
            </w:r>
            <w:r w:rsidR="00E77A48" w:rsidRPr="009B7CB7">
              <w:rPr>
                <w:b/>
              </w:rPr>
              <w:t xml:space="preserve"> </w:t>
            </w:r>
            <w:r w:rsidRPr="009B7CB7">
              <w:rPr>
                <w:b/>
                <w:lang w:val="ru-RU"/>
              </w:rPr>
              <w:t>р</w:t>
            </w:r>
            <w:r w:rsidR="00E77A48" w:rsidRPr="009B7CB7">
              <w:rPr>
                <w:b/>
                <w:lang w:val="ru-RU"/>
              </w:rPr>
              <w:t>оку о 1</w:t>
            </w:r>
            <w:r w:rsidR="00A5469D" w:rsidRPr="009B7CB7">
              <w:rPr>
                <w:b/>
                <w:lang w:val="ru-RU"/>
              </w:rPr>
              <w:t>2</w:t>
            </w:r>
            <w:r w:rsidR="00E77A48" w:rsidRPr="009B7CB7">
              <w:rPr>
                <w:b/>
                <w:lang w:val="ru-RU"/>
              </w:rPr>
              <w:t>:00 год.</w:t>
            </w:r>
          </w:p>
          <w:p w14:paraId="7560DC9E" w14:textId="77777777" w:rsidR="0086338D" w:rsidRDefault="0086338D" w:rsidP="0086338D">
            <w:pPr>
              <w:pStyle w:val="aa"/>
              <w:spacing w:before="150" w:beforeAutospacing="0" w:after="150" w:afterAutospacing="0"/>
              <w:jc w:val="both"/>
            </w:pPr>
            <w:r w:rsidRPr="009B7CB7">
              <w:t>Тендерні пропозиції після закінчення кінцевого</w:t>
            </w:r>
            <w:r>
              <w:rPr>
                <w:color w:val="000000"/>
              </w:rPr>
              <w:t xml:space="preserve"> строку їх </w:t>
            </w:r>
            <w:r>
              <w:rPr>
                <w:color w:val="000000"/>
              </w:rPr>
              <w:lastRenderedPageBreak/>
              <w:t>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2C65B8">
        <w:trPr>
          <w:trHeight w:val="522"/>
          <w:jc w:val="center"/>
        </w:trPr>
        <w:tc>
          <w:tcPr>
            <w:tcW w:w="844"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82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009"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2C65B8">
        <w:trPr>
          <w:trHeight w:val="411"/>
          <w:jc w:val="center"/>
        </w:trPr>
        <w:tc>
          <w:tcPr>
            <w:tcW w:w="844"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82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009"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2C65B8">
        <w:trPr>
          <w:trHeight w:val="522"/>
          <w:jc w:val="center"/>
        </w:trPr>
        <w:tc>
          <w:tcPr>
            <w:tcW w:w="844"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82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009"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закупівлі: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34C71AC6" w:rsidR="0086338D" w:rsidRDefault="0086338D" w:rsidP="005865D5">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та/або юридичною особою, кінцевим бенефіціарним власником (власником) якої є резидент (резиденти)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або фізичною </w:t>
            </w:r>
            <w:r>
              <w:rPr>
                <w:color w:val="000000"/>
              </w:rPr>
              <w:lastRenderedPageBreak/>
              <w:t>особою (фізичною особою – підприємцем) – резидентом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або є суб’єктом господарювання, що здійснює продаж товарів, робіт, послуг походженням з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закупівлі: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w:t>
            </w:r>
            <w:r>
              <w:rPr>
                <w:color w:val="000000"/>
              </w:rPr>
              <w:lastRenderedPageBreak/>
              <w:t>аргументації в електронній системі закупівель у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2C65B8">
        <w:trPr>
          <w:trHeight w:val="522"/>
          <w:jc w:val="center"/>
        </w:trPr>
        <w:tc>
          <w:tcPr>
            <w:tcW w:w="844"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82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009" w:type="dxa"/>
            <w:shd w:val="clear" w:color="auto" w:fill="auto"/>
          </w:tcPr>
          <w:p w14:paraId="3E6E3636" w14:textId="3F58839D" w:rsidR="00E308F6" w:rsidRDefault="00E308F6" w:rsidP="00E308F6">
            <w:pPr>
              <w:pStyle w:val="aa"/>
              <w:spacing w:before="150" w:after="150"/>
              <w:jc w:val="both"/>
              <w:rPr>
                <w:color w:val="000000"/>
              </w:rPr>
            </w:pPr>
            <w:r w:rsidRPr="00E308F6">
              <w:rPr>
                <w:color w:val="000000"/>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2C65B8">
        <w:trPr>
          <w:trHeight w:val="522"/>
          <w:jc w:val="center"/>
        </w:trPr>
        <w:tc>
          <w:tcPr>
            <w:tcW w:w="844"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82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009"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2C65B8">
        <w:trPr>
          <w:trHeight w:val="522"/>
          <w:jc w:val="center"/>
        </w:trPr>
        <w:tc>
          <w:tcPr>
            <w:tcW w:w="844"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82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009"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r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r>
              <w:rPr>
                <w:color w:val="000000"/>
              </w:rPr>
              <w:t xml:space="preserve">З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436334" w14:textId="77777777" w:rsidR="0086338D" w:rsidRDefault="0086338D" w:rsidP="0086338D">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2C65B8">
        <w:trPr>
          <w:trHeight w:val="522"/>
          <w:jc w:val="center"/>
        </w:trPr>
        <w:tc>
          <w:tcPr>
            <w:tcW w:w="844"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82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009"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про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2C65B8">
        <w:trPr>
          <w:trHeight w:val="522"/>
          <w:jc w:val="center"/>
        </w:trPr>
        <w:tc>
          <w:tcPr>
            <w:tcW w:w="844"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82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Умови укладання договору про закупівлю</w:t>
            </w:r>
            <w:r>
              <w:rPr>
                <w:b/>
                <w:color w:val="000000"/>
              </w:rPr>
              <w:t xml:space="preserve"> та порядок його зміни</w:t>
            </w:r>
          </w:p>
        </w:tc>
        <w:tc>
          <w:tcPr>
            <w:tcW w:w="7009"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визначення грошового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закупівлі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закупівлі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623912">
              <w:rPr>
                <w:color w:val="000000"/>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2C65B8">
        <w:trPr>
          <w:trHeight w:val="522"/>
          <w:jc w:val="center"/>
        </w:trPr>
        <w:tc>
          <w:tcPr>
            <w:tcW w:w="844"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82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7009"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2C65B8">
        <w:trPr>
          <w:trHeight w:val="522"/>
          <w:jc w:val="center"/>
        </w:trPr>
        <w:tc>
          <w:tcPr>
            <w:tcW w:w="844"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82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009"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46E0" w14:textId="77777777" w:rsidR="00E66E95" w:rsidRDefault="00E66E95" w:rsidP="00207BBB">
      <w:pPr>
        <w:pStyle w:val="CharChar"/>
      </w:pPr>
      <w:r>
        <w:separator/>
      </w:r>
    </w:p>
  </w:endnote>
  <w:endnote w:type="continuationSeparator" w:id="0">
    <w:p w14:paraId="073D4B40" w14:textId="77777777" w:rsidR="00E66E95" w:rsidRDefault="00E66E95"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1779BE" w:rsidRDefault="001779B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A1CA5D7" w14:textId="77777777" w:rsidR="001779BE" w:rsidRDefault="001779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1779BE" w:rsidRDefault="001779B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849B0">
      <w:rPr>
        <w:rStyle w:val="a3"/>
        <w:noProof/>
      </w:rPr>
      <w:t>16</w:t>
    </w:r>
    <w:r>
      <w:rPr>
        <w:rStyle w:val="a3"/>
      </w:rPr>
      <w:fldChar w:fldCharType="end"/>
    </w:r>
  </w:p>
  <w:p w14:paraId="2863F7DA" w14:textId="77777777" w:rsidR="001779BE" w:rsidRDefault="001779BE"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C7AFB" w14:textId="77777777" w:rsidR="00E66E95" w:rsidRDefault="00E66E95" w:rsidP="00207BBB">
      <w:pPr>
        <w:pStyle w:val="CharChar"/>
      </w:pPr>
      <w:r>
        <w:separator/>
      </w:r>
    </w:p>
  </w:footnote>
  <w:footnote w:type="continuationSeparator" w:id="0">
    <w:p w14:paraId="7DD17119" w14:textId="77777777" w:rsidR="00E66E95" w:rsidRDefault="00E66E95"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481D"/>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5C9A"/>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49B0"/>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66254"/>
    <w:rsid w:val="001717BB"/>
    <w:rsid w:val="00171DF9"/>
    <w:rsid w:val="0017272E"/>
    <w:rsid w:val="00173ACB"/>
    <w:rsid w:val="0017556A"/>
    <w:rsid w:val="00175D30"/>
    <w:rsid w:val="00176924"/>
    <w:rsid w:val="00176B85"/>
    <w:rsid w:val="001779BE"/>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2FF4"/>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4408"/>
    <w:rsid w:val="00245AF5"/>
    <w:rsid w:val="00250142"/>
    <w:rsid w:val="00250CA5"/>
    <w:rsid w:val="002513FC"/>
    <w:rsid w:val="00252691"/>
    <w:rsid w:val="0025323F"/>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C65B8"/>
    <w:rsid w:val="002C6ACC"/>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3FD6"/>
    <w:rsid w:val="00304B2F"/>
    <w:rsid w:val="00304B7C"/>
    <w:rsid w:val="003065A5"/>
    <w:rsid w:val="00306EDF"/>
    <w:rsid w:val="00311B34"/>
    <w:rsid w:val="00312BB3"/>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0008"/>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1B5F"/>
    <w:rsid w:val="00373A3B"/>
    <w:rsid w:val="003740E9"/>
    <w:rsid w:val="003748B0"/>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2BF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437A"/>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5D5"/>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EF5"/>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AEC"/>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258F"/>
    <w:rsid w:val="006D324F"/>
    <w:rsid w:val="006D4A6C"/>
    <w:rsid w:val="006D5055"/>
    <w:rsid w:val="006D50DC"/>
    <w:rsid w:val="006D6D66"/>
    <w:rsid w:val="006D73D7"/>
    <w:rsid w:val="006D773A"/>
    <w:rsid w:val="006D778D"/>
    <w:rsid w:val="006D7FC3"/>
    <w:rsid w:val="006E0A14"/>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48EF"/>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05A"/>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010C"/>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0AC"/>
    <w:rsid w:val="009A7577"/>
    <w:rsid w:val="009A7FD6"/>
    <w:rsid w:val="009B22BC"/>
    <w:rsid w:val="009B2A85"/>
    <w:rsid w:val="009B33EB"/>
    <w:rsid w:val="009B5649"/>
    <w:rsid w:val="009B65F7"/>
    <w:rsid w:val="009B67D9"/>
    <w:rsid w:val="009B6896"/>
    <w:rsid w:val="009B7CB7"/>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17"/>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C7E5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04F"/>
    <w:rsid w:val="00AF7320"/>
    <w:rsid w:val="00B00068"/>
    <w:rsid w:val="00B009A1"/>
    <w:rsid w:val="00B0110E"/>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6993"/>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5B"/>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1A7"/>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96E"/>
    <w:rsid w:val="00BE01C9"/>
    <w:rsid w:val="00BE0280"/>
    <w:rsid w:val="00BE1AB0"/>
    <w:rsid w:val="00BE21DD"/>
    <w:rsid w:val="00BE2874"/>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5E36"/>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3C7F"/>
    <w:rsid w:val="00D14BD5"/>
    <w:rsid w:val="00D15519"/>
    <w:rsid w:val="00D15B3B"/>
    <w:rsid w:val="00D15DC5"/>
    <w:rsid w:val="00D15F03"/>
    <w:rsid w:val="00D16C8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295A"/>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20"/>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2B9B"/>
    <w:rsid w:val="00E3348D"/>
    <w:rsid w:val="00E337B9"/>
    <w:rsid w:val="00E35264"/>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6E95"/>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2EC8"/>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3EA"/>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5DE5"/>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419"/>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031B-1D91-4D29-9C78-C907AD66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23</Pages>
  <Words>37226</Words>
  <Characters>21220</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189</cp:revision>
  <cp:lastPrinted>2021-04-19T11:44:00Z</cp:lastPrinted>
  <dcterms:created xsi:type="dcterms:W3CDTF">2022-10-20T10:48:00Z</dcterms:created>
  <dcterms:modified xsi:type="dcterms:W3CDTF">2024-04-03T10:40:00Z</dcterms:modified>
</cp:coreProperties>
</file>