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B25C2F">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B25C2F">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0D431A"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0D431A" w:rsidRDefault="000D431A" w:rsidP="000D431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lang w:val="uk-UA" w:eastAsia="ru-RU"/>
              </w:rPr>
              <w:t xml:space="preserve">1.1. </w:t>
            </w:r>
            <w:r>
              <w:rPr>
                <w:rFonts w:ascii="Times New Roman" w:eastAsia="Times New Roman" w:hAnsi="Times New Roman" w:cs="Times New Roman"/>
                <w:color w:val="000000"/>
                <w:sz w:val="24"/>
                <w:szCs w:val="24"/>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0D431A" w:rsidRDefault="000D431A" w:rsidP="000D431A">
            <w:pPr>
              <w:spacing w:after="0" w:line="240" w:lineRule="auto"/>
              <w:jc w:val="both"/>
              <w:rPr>
                <w:rFonts w:ascii="Times New Roman" w:eastAsia="Times New Roman" w:hAnsi="Times New Roman" w:cs="Times New Roman"/>
                <w:b/>
                <w:bCs/>
                <w:i/>
                <w:iCs/>
                <w:color w:val="000000"/>
                <w:sz w:val="24"/>
                <w:szCs w:val="24"/>
                <w:lang w:val="uk-UA" w:eastAsia="ru-RU"/>
              </w:rPr>
            </w:pPr>
            <w:r>
              <w:rPr>
                <w:lang w:val="uk-UA"/>
              </w:rPr>
              <w:t xml:space="preserve"> </w:t>
            </w:r>
            <w:r>
              <w:rPr>
                <w:rFonts w:ascii="Times New Roman" w:eastAsia="Times New Roman" w:hAnsi="Times New Roman" w:cs="Times New Roman"/>
                <w:b/>
                <w:bCs/>
                <w:i/>
                <w:iCs/>
                <w:color w:val="000000"/>
                <w:sz w:val="24"/>
                <w:szCs w:val="24"/>
                <w:lang w:val="uk-UA" w:eastAsia="ru-RU"/>
              </w:rPr>
              <w:t>Аналогічним договором за предметом закупівлі є договір, за яким учасник  постачав  електричну  енергію  незалежно  від  того,  чи  включались послуги з передачі та/або розподіл.</w:t>
            </w:r>
          </w:p>
          <w:p w:rsidR="000D431A" w:rsidRDefault="000D431A" w:rsidP="000D431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На підтвердження досвіду виконання аналогічних за предметом закупівлі договорів Учасник має надати:</w:t>
            </w:r>
          </w:p>
          <w:p w:rsidR="0013641F" w:rsidRPr="0085189D" w:rsidRDefault="000D431A" w:rsidP="000D431A">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з </w:t>
            </w:r>
            <w:r>
              <w:rPr>
                <w:rFonts w:ascii="Times New Roman" w:eastAsia="Times New Roman" w:hAnsi="Times New Roman" w:cs="Times New Roman"/>
                <w:b/>
                <w:color w:val="000000"/>
                <w:sz w:val="24"/>
                <w:szCs w:val="24"/>
                <w:lang w:val="uk-UA" w:eastAsia="ru-RU"/>
              </w:rPr>
              <w:t>документальним підтвердженням їх виконання (копіями актів приймання-передавання товару або видаткової накладної, або відгуку тощо</w:t>
            </w:r>
            <w:r>
              <w:rPr>
                <w:rFonts w:ascii="Times New Roman" w:eastAsia="Times New Roman" w:hAnsi="Times New Roman" w:cs="Times New Roman"/>
                <w:color w:val="000000"/>
                <w:sz w:val="24"/>
                <w:szCs w:val="24"/>
                <w:lang w:val="uk-UA" w:eastAsia="ru-RU"/>
              </w:rPr>
              <w:t>).</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13641F" w:rsidRPr="000D431A"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jc w:val="center"/>
            </w:pPr>
            <w:r>
              <w:rPr>
                <w:b/>
                <w:bCs/>
                <w:color w:val="000000"/>
              </w:rPr>
              <w:t>Підстави для відмови в участі у процедурі закупівлі</w:t>
            </w:r>
          </w:p>
          <w:p w:rsidR="0013641F" w:rsidRDefault="0013641F" w:rsidP="00B25C2F">
            <w:pPr>
              <w:spacing w:line="0" w:lineRule="atLeast"/>
              <w:rPr>
                <w:sz w:val="24"/>
                <w:szCs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13641F" w:rsidRDefault="0013641F" w:rsidP="00B25C2F">
            <w:pPr>
              <w:pStyle w:val="a4"/>
              <w:spacing w:before="0" w:beforeAutospacing="0" w:after="0" w:afterAutospacing="0" w:line="0" w:lineRule="atLeast"/>
              <w:jc w:val="center"/>
            </w:pPr>
            <w:r>
              <w:rPr>
                <w:b/>
                <w:bCs/>
                <w:color w:val="00000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замовник має незаперечні докази того, що учасник </w:t>
            </w:r>
            <w:r w:rsidRPr="0013641F">
              <w:rPr>
                <w:color w:val="000000"/>
                <w:shd w:val="clear" w:color="auto" w:fill="FFFFFF"/>
              </w:rPr>
              <w:lastRenderedPageBreak/>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пп. 1 п. 44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Замовник перевіряє інформацію </w:t>
            </w:r>
            <w:r>
              <w:rPr>
                <w:color w:val="000000"/>
              </w:rPr>
              <w:lastRenderedPageBreak/>
              <w:t>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 xml:space="preserve">Замовник перевіряє інформацію самостійно. Переможець не надає </w:t>
            </w:r>
            <w:r>
              <w:rPr>
                <w:color w:val="000000"/>
              </w:rPr>
              <w:lastRenderedPageBreak/>
              <w:t>підтвердження своєї відповідності.</w:t>
            </w:r>
          </w:p>
        </w:tc>
      </w:tr>
      <w:tr w:rsidR="0013641F" w:rsidRPr="000D431A"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color w:val="000000"/>
              </w:rPr>
            </w:pPr>
            <w:r w:rsidRPr="0013641F">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color w:val="000000"/>
                <w:shd w:val="clear" w:color="auto" w:fill="FFFFFF"/>
              </w:rPr>
              <w:t>(</w:t>
            </w:r>
            <w:r>
              <w:rPr>
                <w:color w:val="000000"/>
              </w:rPr>
              <w:t xml:space="preserve">пп. 2 </w:t>
            </w:r>
          </w:p>
          <w:p w:rsidR="0013641F" w:rsidRDefault="0013641F" w:rsidP="0013641F">
            <w:pPr>
              <w:pStyle w:val="a4"/>
              <w:spacing w:before="0" w:beforeAutospacing="0" w:after="0" w:afterAutospacing="0" w:line="0" w:lineRule="atLeast"/>
              <w:jc w:val="both"/>
            </w:pPr>
            <w:r>
              <w:rPr>
                <w:i/>
                <w:iCs/>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0D431A">
              <w:rPr>
                <w:b/>
                <w:bCs/>
                <w:i/>
                <w:color w:val="000000"/>
                <w:lang w:eastAsia="ru-RU"/>
              </w:rPr>
              <w:t xml:space="preserve">враховуючи технічну неможливість перевірити інформацію замовником за посиланням </w:t>
            </w:r>
            <w:hyperlink r:id="rId7" w:history="1">
              <w:r w:rsidRPr="000D431A">
                <w:rPr>
                  <w:rStyle w:val="a3"/>
                  <w:b/>
                  <w:bCs/>
                  <w:lang w:eastAsia="ru-RU"/>
                </w:rPr>
                <w:t>https://corruptinfo.nazk.gov.ua/</w:t>
              </w:r>
            </w:hyperlink>
            <w:r>
              <w:rPr>
                <w:rStyle w:val="a3"/>
                <w:b/>
                <w:bCs/>
                <w:lang w:eastAsia="ru-RU"/>
              </w:rPr>
              <w:t xml:space="preserve">, </w:t>
            </w:r>
            <w:r>
              <w:rPr>
                <w:rStyle w:val="a3"/>
                <w:b/>
                <w:bCs/>
                <w:i/>
                <w:color w:val="auto"/>
                <w:u w:val="none"/>
                <w:lang w:eastAsia="ru-RU"/>
              </w:rPr>
              <w:t>переможець</w:t>
            </w:r>
            <w:r w:rsidRPr="001448A3">
              <w:rPr>
                <w:rStyle w:val="a3"/>
                <w:b/>
                <w:bCs/>
                <w:i/>
                <w:color w:val="auto"/>
                <w:u w:val="none"/>
                <w:lang w:eastAsia="ru-RU"/>
              </w:rPr>
              <w:t xml:space="preserve"> надає</w:t>
            </w:r>
            <w:r>
              <w:rPr>
                <w:rStyle w:val="a3"/>
                <w:b/>
                <w:bCs/>
                <w:i/>
                <w:color w:val="auto"/>
                <w:u w:val="none"/>
                <w:lang w:eastAsia="ru-RU"/>
              </w:rPr>
              <w:t xml:space="preserve"> </w:t>
            </w:r>
            <w:r>
              <w:rPr>
                <w:b/>
                <w:bCs/>
                <w:i/>
                <w:color w:val="000000"/>
                <w:lang w:eastAsia="ru-RU"/>
              </w:rPr>
              <w:t>інформаційну довідку або витяг</w:t>
            </w:r>
            <w:r w:rsidRPr="001448A3">
              <w:rPr>
                <w:b/>
                <w:bCs/>
                <w:i/>
                <w:color w:val="000000"/>
                <w:lang w:eastAsia="ru-RU"/>
              </w:rPr>
              <w:t xml:space="preserve"> з Реєстру стосовно фізичних та юридичних осіб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b/>
                <w:bCs/>
                <w:i/>
                <w:color w:val="000000"/>
                <w:lang w:eastAsia="ru-RU"/>
              </w:rPr>
              <w:t xml:space="preserve"> </w:t>
            </w:r>
            <w:r>
              <w:rPr>
                <w:color w:val="000000"/>
              </w:rPr>
              <w:t xml:space="preserve">про те, що </w:t>
            </w:r>
            <w:r>
              <w:rPr>
                <w:color w:val="000000"/>
                <w:shd w:val="clear" w:color="auto" w:fill="FFFFFF"/>
              </w:rPr>
              <w:t xml:space="preserve">відомості про юридичну особу, яка є учасником процедури закупівлі, не внесено до Єдиного державного реєстру осіб, які </w:t>
            </w:r>
            <w:r>
              <w:rPr>
                <w:color w:val="000000"/>
                <w:shd w:val="clear" w:color="auto" w:fill="FFFFFF"/>
              </w:rPr>
              <w:lastRenderedPageBreak/>
              <w:t>вчинили корупційні або пов’язані з корупцією правопорушення</w:t>
            </w:r>
            <w:r>
              <w:rPr>
                <w:color w:val="000000"/>
              </w:rPr>
              <w:t>.</w:t>
            </w:r>
          </w:p>
          <w:p w:rsidR="0013641F" w:rsidRPr="00752309" w:rsidRDefault="0013641F" w:rsidP="00B25C2F">
            <w:pPr>
              <w:spacing w:line="0" w:lineRule="atLeast"/>
              <w:rPr>
                <w:sz w:val="24"/>
                <w:szCs w:val="24"/>
                <w:lang w:val="uk-UA"/>
              </w:rPr>
            </w:pPr>
          </w:p>
        </w:tc>
      </w:tr>
      <w:tr w:rsidR="0013641F" w:rsidRPr="000D431A"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color w:val="000000"/>
                <w:shd w:val="clear" w:color="auto" w:fill="FFFFFF"/>
              </w:rPr>
              <w:t>(</w:t>
            </w:r>
            <w:r w:rsidRPr="0013641F">
              <w:rPr>
                <w:i/>
                <w:color w:val="000000"/>
              </w:rPr>
              <w:t>пп. 3</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0D431A">
              <w:rPr>
                <w:b/>
                <w:bCs/>
                <w:i/>
                <w:color w:val="000000"/>
                <w:lang w:eastAsia="ru-RU"/>
              </w:rPr>
              <w:t xml:space="preserve">враховуючи технічну неможливість перевірити інформацію замовником за посиланням </w:t>
            </w:r>
            <w:hyperlink r:id="rId8" w:history="1">
              <w:r w:rsidRPr="000D431A">
                <w:rPr>
                  <w:rStyle w:val="a3"/>
                  <w:b/>
                  <w:bCs/>
                  <w:lang w:eastAsia="ru-RU"/>
                </w:rPr>
                <w:t>https://corruptinfo.nazk.gov.ua/</w:t>
              </w:r>
            </w:hyperlink>
            <w:r w:rsidRPr="000D431A">
              <w:rPr>
                <w:rStyle w:val="a3"/>
                <w:b/>
                <w:bCs/>
                <w:lang w:eastAsia="ru-RU"/>
              </w:rPr>
              <w:t xml:space="preserve">, </w:t>
            </w:r>
            <w:r w:rsidRPr="000D431A">
              <w:rPr>
                <w:rStyle w:val="a3"/>
                <w:b/>
                <w:bCs/>
                <w:i/>
                <w:color w:val="auto"/>
                <w:u w:val="none"/>
                <w:lang w:eastAsia="ru-RU"/>
              </w:rPr>
              <w:t xml:space="preserve">переможець надає </w:t>
            </w:r>
            <w:r w:rsidRPr="000D431A">
              <w:rPr>
                <w:b/>
                <w:bCs/>
                <w:i/>
                <w:color w:val="000000"/>
                <w:lang w:eastAsia="ru-RU"/>
              </w:rPr>
              <w:t>інформац</w:t>
            </w:r>
            <w:r>
              <w:rPr>
                <w:b/>
                <w:bCs/>
                <w:i/>
                <w:color w:val="000000"/>
                <w:lang w:eastAsia="ru-RU"/>
              </w:rPr>
              <w:t>ійну довідку або витяг</w:t>
            </w:r>
            <w:r w:rsidRPr="001448A3">
              <w:rPr>
                <w:b/>
                <w:bCs/>
                <w:i/>
                <w:color w:val="000000"/>
                <w:lang w:eastAsia="ru-RU"/>
              </w:rPr>
              <w:t xml:space="preserve"> з Реєстру стосовно фізичних та юридичних осіб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color w:val="000000"/>
              </w:rPr>
              <w:t xml:space="preserve"> про те, що </w:t>
            </w:r>
            <w:r>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суб’єкт господарювання (учасник процедури закупівлі) протягом останніх трьох років притягувався до </w:t>
            </w:r>
            <w:r w:rsidRPr="0013641F">
              <w:rPr>
                <w:color w:val="000000"/>
                <w:shd w:val="clear" w:color="auto" w:fill="FFFFFF"/>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641F">
              <w:rPr>
                <w:color w:val="000000"/>
                <w:shd w:val="clear" w:color="auto" w:fill="FFFFFF"/>
              </w:rPr>
              <w:t>антиконкурентних</w:t>
            </w:r>
            <w:proofErr w:type="spellEnd"/>
            <w:r w:rsidRPr="0013641F">
              <w:rPr>
                <w:color w:val="000000"/>
                <w:shd w:val="clear" w:color="auto" w:fill="FFFFFF"/>
              </w:rPr>
              <w:t xml:space="preserve"> узгоджених дій, що стосуються спотворення результатів тендерів </w:t>
            </w:r>
            <w:r>
              <w:rPr>
                <w:color w:val="000000"/>
                <w:shd w:val="clear" w:color="auto" w:fill="FFFFFF"/>
              </w:rPr>
              <w:t>(</w:t>
            </w:r>
            <w:r w:rsidRPr="0013641F">
              <w:rPr>
                <w:i/>
                <w:color w:val="000000"/>
              </w:rPr>
              <w:t>пп. 4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hd w:val="clear" w:color="auto" w:fill="FFFFFF"/>
              </w:rPr>
              <w:t xml:space="preserve"> (</w:t>
            </w:r>
            <w:r w:rsidRPr="0013641F">
              <w:rPr>
                <w:i/>
                <w:color w:val="000000"/>
              </w:rPr>
              <w:t>пп. 5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Pr="00F40F39" w:rsidRDefault="0013641F" w:rsidP="00B25C2F">
            <w:pPr>
              <w:pStyle w:val="a4"/>
              <w:spacing w:before="0" w:beforeAutospacing="0" w:after="0" w:afterAutospacing="0" w:line="0" w:lineRule="atLeast"/>
              <w:jc w:val="both"/>
            </w:pPr>
            <w:r w:rsidRPr="00F40F39">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0D431A"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w:t>
            </w:r>
            <w:r w:rsidRPr="000D431A">
              <w:rPr>
                <w:rFonts w:ascii="Times New Roman" w:hAnsi="Times New Roman" w:cs="Times New Roman"/>
                <w:color w:val="000000"/>
                <w:sz w:val="24"/>
                <w:szCs w:val="24"/>
                <w:lang w:val="uk-UA"/>
              </w:rPr>
              <w:t xml:space="preserve">відповідальності та наявності судимості» </w:t>
            </w:r>
            <w:r w:rsidRPr="000D431A">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Pr="00F40F39" w:rsidRDefault="0013641F" w:rsidP="00B25C2F">
            <w:pPr>
              <w:pStyle w:val="a4"/>
              <w:spacing w:before="0" w:beforeAutospacing="0" w:after="0" w:afterAutospacing="0" w:line="0" w:lineRule="atLeast"/>
              <w:jc w:val="both"/>
            </w:pPr>
            <w:r w:rsidRPr="000D431A">
              <w:rPr>
                <w:color w:val="000000"/>
              </w:rPr>
              <w:t xml:space="preserve">Документ повинен бути не більше </w:t>
            </w:r>
            <w:proofErr w:type="spellStart"/>
            <w:r w:rsidRPr="000D431A">
              <w:rPr>
                <w:color w:val="000000"/>
              </w:rPr>
              <w:t>тридцятиденної</w:t>
            </w:r>
            <w:proofErr w:type="spellEnd"/>
            <w:r w:rsidRPr="000D431A">
              <w:rPr>
                <w:color w:val="000000"/>
              </w:rPr>
              <w:t xml:space="preserve"> давнини від дати видачі документа.</w:t>
            </w:r>
          </w:p>
        </w:tc>
      </w:tr>
      <w:tr w:rsidR="0013641F" w:rsidRPr="0075230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hd w:val="clear" w:color="auto" w:fill="FFFFFF"/>
              </w:rPr>
              <w:t xml:space="preserve"> (</w:t>
            </w:r>
            <w:r w:rsidRPr="0013641F">
              <w:rPr>
                <w:i/>
                <w:color w:val="000000"/>
              </w:rPr>
              <w:t xml:space="preserve">пп. </w:t>
            </w:r>
            <w:r>
              <w:rPr>
                <w:i/>
                <w:color w:val="000000"/>
              </w:rPr>
              <w:t>6</w:t>
            </w: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0D431A"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0D431A">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0D431A">
              <w:rPr>
                <w:rFonts w:ascii="Times New Roman" w:eastAsia="Times New Roman" w:hAnsi="Times New Roman" w:cs="Times New Roman"/>
                <w:color w:val="000000"/>
                <w:sz w:val="24"/>
                <w:szCs w:val="24"/>
                <w:lang w:val="uk-UA" w:eastAsia="ru-RU"/>
              </w:rPr>
              <w:t>про притягнення</w:t>
            </w:r>
            <w:r w:rsidRPr="000D431A">
              <w:rPr>
                <w:lang w:val="uk-UA"/>
              </w:rPr>
              <w:t xml:space="preserve"> </w:t>
            </w:r>
            <w:r w:rsidRPr="000D431A">
              <w:rPr>
                <w:rFonts w:ascii="Times New Roman" w:eastAsia="Times New Roman" w:hAnsi="Times New Roman" w:cs="Times New Roman"/>
                <w:color w:val="000000"/>
                <w:sz w:val="24"/>
                <w:szCs w:val="24"/>
                <w:lang w:val="uk-UA" w:eastAsia="ru-RU"/>
              </w:rPr>
              <w:t xml:space="preserve">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w:t>
            </w:r>
            <w:r w:rsidRPr="000D431A">
              <w:rPr>
                <w:rFonts w:ascii="Times New Roman" w:eastAsia="Times New Roman" w:hAnsi="Times New Roman" w:cs="Times New Roman"/>
                <w:color w:val="000000"/>
                <w:sz w:val="24"/>
                <w:szCs w:val="24"/>
                <w:lang w:val="uk-UA" w:eastAsia="ru-RU"/>
              </w:rPr>
              <w:lastRenderedPageBreak/>
              <w:t>законодавством України.</w:t>
            </w:r>
          </w:p>
          <w:p w:rsidR="0013641F" w:rsidRPr="000D431A" w:rsidRDefault="0013641F" w:rsidP="00B25C2F">
            <w:pPr>
              <w:pStyle w:val="a4"/>
              <w:spacing w:before="0" w:beforeAutospacing="0" w:after="0" w:afterAutospacing="0" w:line="0" w:lineRule="atLeast"/>
              <w:jc w:val="both"/>
            </w:pPr>
            <w:r w:rsidRPr="000D431A">
              <w:rPr>
                <w:color w:val="000000"/>
              </w:rPr>
              <w:t xml:space="preserve">Документ повинен бути не більше </w:t>
            </w:r>
            <w:proofErr w:type="spellStart"/>
            <w:r w:rsidRPr="000D431A">
              <w:rPr>
                <w:color w:val="000000"/>
              </w:rPr>
              <w:t>тридцятиденної</w:t>
            </w:r>
            <w:proofErr w:type="spellEnd"/>
            <w:r w:rsidRPr="000D431A">
              <w:rPr>
                <w:color w:val="000000"/>
              </w:rPr>
              <w:t xml:space="preserve"> давнини від дати видачі документа.</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rPr>
                <w:i/>
                <w:color w:val="000000"/>
              </w:rPr>
            </w:pPr>
            <w:r w:rsidRPr="0013641F">
              <w:rPr>
                <w:color w:val="00000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000000"/>
                <w:shd w:val="clear" w:color="auto" w:fill="FFFFFF"/>
              </w:rPr>
              <w:t xml:space="preserve"> (</w:t>
            </w:r>
            <w:r w:rsidRPr="0013641F">
              <w:rPr>
                <w:i/>
                <w:color w:val="000000"/>
              </w:rPr>
              <w:t xml:space="preserve">пп. </w:t>
            </w:r>
            <w:r>
              <w:rPr>
                <w:i/>
                <w:color w:val="000000"/>
              </w:rPr>
              <w:t>7</w:t>
            </w:r>
          </w:p>
          <w:p w:rsidR="0013641F" w:rsidRDefault="0013641F" w:rsidP="00B25C2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0D431A" w:rsidRDefault="000B5D99" w:rsidP="00B25C2F">
            <w:pPr>
              <w:pStyle w:val="a4"/>
              <w:spacing w:before="0" w:beforeAutospacing="0" w:after="0" w:afterAutospacing="0" w:line="0" w:lineRule="atLeast"/>
              <w:jc w:val="both"/>
            </w:pPr>
            <w:r w:rsidRPr="000D431A">
              <w:rPr>
                <w:color w:val="000000"/>
              </w:rPr>
              <w:t>Замовник перевіряє інформацію самостійно. Переможець не надає підтвердження своєї відповідності. </w:t>
            </w:r>
            <w:r w:rsidR="0013641F" w:rsidRPr="000D431A">
              <w:rPr>
                <w:color w:val="000000"/>
              </w:rPr>
              <w:t> </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color w:val="000000"/>
                <w:shd w:val="clear" w:color="auto" w:fill="FFFFFF"/>
              </w:rPr>
              <w:t>(</w:t>
            </w:r>
            <w:r w:rsidRPr="0013641F">
              <w:rPr>
                <w:i/>
                <w:color w:val="000000"/>
              </w:rPr>
              <w:t xml:space="preserve">пп. </w:t>
            </w:r>
            <w:r>
              <w:rPr>
                <w:i/>
                <w:color w:val="000000"/>
              </w:rPr>
              <w:t>8</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sidRPr="000D431A">
              <w:rPr>
                <w:color w:val="000000"/>
              </w:rPr>
              <w:t>обмеженим, тому відповідно до пункту 44 Особливостей, переможець процедури закупівлі має надати інформаційний лист, виданий</w:t>
            </w:r>
            <w:r>
              <w:rPr>
                <w:color w:val="000000"/>
              </w:rPr>
              <w:t xml:space="preserve"> міжрегіональним управлінням Міністерства юстиції України або Міністерством юстиції України про те, що</w:t>
            </w:r>
            <w:r>
              <w:rPr>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3641F" w:rsidRP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3641F">
              <w:rPr>
                <w:color w:val="000000"/>
                <w:shd w:val="clear" w:color="auto" w:fill="FFFFFF"/>
              </w:rPr>
              <w:lastRenderedPageBreak/>
              <w:t>фізичних осіб — підприємців та громадськи</w:t>
            </w:r>
            <w:r>
              <w:rPr>
                <w:color w:val="000000"/>
                <w:shd w:val="clear" w:color="auto" w:fill="FFFFFF"/>
              </w:rPr>
              <w:t>х формувань” (крім нерезидентів) (</w:t>
            </w:r>
            <w:r w:rsidRPr="0013641F">
              <w:rPr>
                <w:i/>
                <w:color w:val="000000"/>
              </w:rPr>
              <w:t xml:space="preserve">пп. </w:t>
            </w:r>
            <w:r>
              <w:rPr>
                <w:i/>
                <w:color w:val="000000"/>
              </w:rPr>
              <w:t>9</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4F3CC5"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13641F" w:rsidRDefault="0013641F" w:rsidP="0013641F">
            <w:pPr>
              <w:pStyle w:val="a4"/>
              <w:spacing w:after="0" w:line="0" w:lineRule="atLeast"/>
              <w:jc w:val="both"/>
              <w:rPr>
                <w:color w:val="000000"/>
                <w:shd w:val="clear" w:color="auto" w:fill="FFFFFF"/>
              </w:rPr>
            </w:pPr>
            <w:r w:rsidRPr="0013641F">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20 млн. гривень (у тому числі за лотом</w:t>
            </w:r>
            <w:r>
              <w:rPr>
                <w:color w:val="000000"/>
                <w:shd w:val="clear" w:color="auto" w:fill="FFFFFF"/>
              </w:rPr>
              <w:t>) (</w:t>
            </w:r>
            <w:r w:rsidRPr="0013641F">
              <w:rPr>
                <w:i/>
                <w:color w:val="000000"/>
              </w:rPr>
              <w:t xml:space="preserve">пп. </w:t>
            </w:r>
            <w:r>
              <w:rPr>
                <w:i/>
                <w:color w:val="000000"/>
              </w:rPr>
              <w:t>10</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rPr>
              <w:t> </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Pr>
              <w:spacing w:line="0" w:lineRule="atLeast"/>
              <w:rPr>
                <w:sz w:val="24"/>
                <w:szCs w:val="24"/>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Переможець надає антикорупційну програму та документ про призначення уповноваженого з реалізації антикорупційної програми</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 w:rsidR="0013641F" w:rsidRDefault="0013641F" w:rsidP="00B25C2F">
            <w:pPr>
              <w:pStyle w:val="a4"/>
              <w:spacing w:before="0" w:beforeAutospacing="0" w:after="0" w:afterAutospacing="0" w:line="0" w:lineRule="atLeast"/>
              <w:jc w:val="both"/>
            </w:pPr>
            <w:r>
              <w:rPr>
                <w:color w:val="00000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або кінцевий </w:t>
            </w:r>
            <w:proofErr w:type="spellStart"/>
            <w:r w:rsidRPr="0013641F">
              <w:rPr>
                <w:color w:val="000000"/>
                <w:shd w:val="clear" w:color="auto" w:fill="FFFFFF"/>
              </w:rPr>
              <w:t>бенефіціарний</w:t>
            </w:r>
            <w:proofErr w:type="spellEnd"/>
            <w:r w:rsidRPr="0013641F">
              <w:rPr>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color w:val="000000"/>
                <w:shd w:val="clear" w:color="auto" w:fill="FFFFFF"/>
              </w:rPr>
              <w:t>» (</w:t>
            </w:r>
            <w:r w:rsidRPr="0013641F">
              <w:rPr>
                <w:i/>
                <w:color w:val="000000"/>
              </w:rPr>
              <w:t xml:space="preserve">пп. </w:t>
            </w:r>
            <w:r>
              <w:rPr>
                <w:i/>
                <w:color w:val="000000"/>
              </w:rPr>
              <w:t>11</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керівника учасника процедури закупівлі, фізичну особу, яка є </w:t>
            </w:r>
            <w:r w:rsidRPr="0013641F">
              <w:rPr>
                <w:color w:val="000000"/>
                <w:shd w:val="clear" w:color="auto" w:fill="FFFFFF"/>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shd w:val="clear" w:color="auto" w:fill="FFFFFF"/>
              </w:rPr>
              <w:t xml:space="preserve"> (</w:t>
            </w:r>
            <w:r w:rsidRPr="0013641F">
              <w:rPr>
                <w:i/>
                <w:color w:val="000000"/>
              </w:rPr>
              <w:t xml:space="preserve">пп. </w:t>
            </w:r>
            <w:r>
              <w:rPr>
                <w:i/>
                <w:color w:val="000000"/>
              </w:rPr>
              <w:t>12</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Учасник процедури закупівлі підтверджує відсутність підстави </w:t>
            </w:r>
            <w:r>
              <w:rPr>
                <w:color w:val="000000"/>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0D431A"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lastRenderedPageBreak/>
              <w:t xml:space="preserve">Переможець процедури закупівлі має надати повний витяг в електронній або паперовій формі з </w:t>
            </w:r>
            <w:r w:rsidRPr="00F40F39">
              <w:rPr>
                <w:rFonts w:ascii="Times New Roman" w:hAnsi="Times New Roman" w:cs="Times New Roman"/>
                <w:color w:val="000000"/>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w:t>
            </w:r>
            <w:r w:rsidRPr="000D431A">
              <w:rPr>
                <w:rFonts w:ascii="Times New Roman" w:hAnsi="Times New Roman" w:cs="Times New Roman"/>
                <w:color w:val="000000"/>
                <w:sz w:val="24"/>
                <w:szCs w:val="24"/>
                <w:lang w:val="uk-UA"/>
              </w:rPr>
              <w:t xml:space="preserve">судимості» </w:t>
            </w:r>
            <w:r w:rsidRPr="000D431A">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Default="0013641F" w:rsidP="00B25C2F">
            <w:pPr>
              <w:pStyle w:val="a4"/>
              <w:spacing w:before="0" w:beforeAutospacing="0" w:after="0" w:afterAutospacing="0"/>
              <w:jc w:val="both"/>
              <w:rPr>
                <w:color w:val="000000"/>
              </w:rPr>
            </w:pPr>
            <w:r w:rsidRPr="000D431A">
              <w:rPr>
                <w:color w:val="000000"/>
              </w:rPr>
              <w:t xml:space="preserve">Документ повинен бути не більше </w:t>
            </w:r>
            <w:proofErr w:type="spellStart"/>
            <w:r w:rsidRPr="000D431A">
              <w:rPr>
                <w:color w:val="000000"/>
              </w:rPr>
              <w:t>тридцятиденної</w:t>
            </w:r>
            <w:proofErr w:type="spellEnd"/>
            <w:r w:rsidRPr="000D431A">
              <w:rPr>
                <w:color w:val="000000"/>
              </w:rPr>
              <w:t xml:space="preserve"> давнини від дати видачі документа.</w:t>
            </w:r>
            <w:bookmarkStart w:id="0" w:name="_GoBack"/>
            <w:bookmarkEnd w:id="0"/>
            <w:r>
              <w:rPr>
                <w:color w:val="000000"/>
              </w:rPr>
              <w:t xml:space="preserve"> </w:t>
            </w: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pPr>
          </w:p>
          <w:p w:rsidR="0013641F" w:rsidRDefault="0013641F" w:rsidP="00B25C2F">
            <w:pPr>
              <w:pStyle w:val="a4"/>
              <w:spacing w:before="0" w:beforeAutospacing="0" w:after="0" w:afterAutospacing="0" w:line="0" w:lineRule="atLeast"/>
              <w:jc w:val="both"/>
            </w:pPr>
          </w:p>
        </w:tc>
      </w:tr>
      <w:tr w:rsidR="0013641F" w:rsidRPr="000D431A"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B25C2F" w:rsidP="00B25C2F">
            <w:pPr>
              <w:pStyle w:val="a4"/>
              <w:spacing w:before="0" w:beforeAutospacing="0" w:after="0" w:afterAutospacing="0" w:line="0" w:lineRule="atLeast"/>
              <w:jc w:val="both"/>
            </w:pPr>
            <w:r>
              <w:rPr>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0B5D99">
            <w:pPr>
              <w:pStyle w:val="a4"/>
              <w:shd w:val="clear" w:color="auto" w:fill="FFFFFF"/>
              <w:spacing w:before="0" w:beforeAutospacing="0" w:after="150" w:afterAutospacing="0" w:line="0" w:lineRule="atLeast"/>
              <w:jc w:val="both"/>
            </w:pPr>
            <w:r w:rsidRPr="0013641F">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13641F">
              <w:rPr>
                <w:color w:val="000000"/>
              </w:rPr>
              <w:lastRenderedPageBreak/>
              <w:t xml:space="preserve">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color w:val="000000"/>
              </w:rPr>
              <w:t>(</w:t>
            </w:r>
            <w:r w:rsidR="000B5D99" w:rsidRPr="000B5D99">
              <w:rPr>
                <w:i/>
                <w:color w:val="000000"/>
              </w:rPr>
              <w:t>абз.14</w:t>
            </w:r>
            <w:r w:rsidRPr="000B5D99">
              <w:rPr>
                <w:i/>
                <w:color w:val="000000"/>
              </w:rPr>
              <w:t xml:space="preserve"> </w:t>
            </w:r>
            <w:r w:rsidR="000B5D99" w:rsidRPr="000B5D99">
              <w:rPr>
                <w:i/>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160" w:afterAutospacing="0"/>
              <w:jc w:val="both"/>
              <w:rPr>
                <w:color w:val="000000"/>
              </w:rPr>
            </w:pPr>
            <w:r>
              <w:rPr>
                <w:color w:val="000000"/>
              </w:rPr>
              <w:lastRenderedPageBreak/>
              <w:t>Учасник процедури закупівлі підтверджує відсутність підстави</w:t>
            </w:r>
            <w:r w:rsidR="00B25C2F">
              <w:rPr>
                <w:color w:val="000000"/>
              </w:rPr>
              <w:t xml:space="preserve"> шляхом подання </w:t>
            </w:r>
            <w:r>
              <w:rPr>
                <w:color w:val="000000"/>
              </w:rPr>
              <w:t xml:space="preserve"> </w:t>
            </w:r>
            <w:r w:rsidR="00B25C2F">
              <w:rPr>
                <w:color w:val="000000"/>
              </w:rPr>
              <w:t>інформації</w:t>
            </w:r>
            <w:r w:rsidR="00B25C2F" w:rsidRPr="00B25C2F">
              <w:rPr>
                <w:color w:val="000000"/>
              </w:rPr>
              <w:t xml:space="preserve"> у довільній </w:t>
            </w:r>
            <w:r w:rsidR="00B25C2F">
              <w:rPr>
                <w:color w:val="000000"/>
              </w:rPr>
              <w:t>формі (лист, довідка</w:t>
            </w:r>
            <w:r w:rsidR="00B25C2F" w:rsidRPr="00B25C2F">
              <w:rPr>
                <w:color w:val="000000"/>
              </w:rPr>
              <w:t>)</w:t>
            </w:r>
            <w:r w:rsidR="00B25C2F">
              <w:rPr>
                <w:color w:val="000000"/>
              </w:rPr>
              <w:t xml:space="preserve"> </w:t>
            </w:r>
            <w:r>
              <w:rPr>
                <w:color w:val="000000"/>
              </w:rPr>
              <w:t xml:space="preserve">про те, що між ним і замовником раніше не було укладено договір про закупівлю за яким учасник процедури закупівлі не виконав </w:t>
            </w:r>
            <w:r>
              <w:rPr>
                <w:color w:val="000000"/>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41F" w:rsidRDefault="0013641F" w:rsidP="00B25C2F">
            <w:pPr>
              <w:pStyle w:val="a4"/>
              <w:spacing w:before="0" w:beforeAutospacing="0" w:after="160" w:afterAutospacing="0"/>
              <w:ind w:left="50"/>
              <w:jc w:val="both"/>
            </w:pPr>
            <w:r>
              <w:rPr>
                <w:color w:val="000000"/>
              </w:rPr>
              <w:t>або </w:t>
            </w:r>
          </w:p>
          <w:p w:rsidR="0013641F" w:rsidRDefault="0013641F" w:rsidP="000B5D99">
            <w:pPr>
              <w:pStyle w:val="a4"/>
              <w:spacing w:before="0" w:beforeAutospacing="0" w:after="160" w:afterAutospacing="0" w:line="0" w:lineRule="atLeast"/>
              <w:jc w:val="both"/>
            </w:pPr>
            <w:r>
              <w:rPr>
                <w:color w:val="000000"/>
              </w:rPr>
              <w:t xml:space="preserve">учасник процедури закупівлі, що перебуває в обставинах, зазначених </w:t>
            </w:r>
            <w:r w:rsidR="000B5D99">
              <w:rPr>
                <w:color w:val="000000"/>
              </w:rPr>
              <w:t>у цьому пункті</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CC5" w:rsidRDefault="004F3CC5" w:rsidP="004F3CC5">
            <w:pPr>
              <w:pStyle w:val="a4"/>
              <w:spacing w:before="0" w:beforeAutospacing="0" w:after="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CC5" w:rsidRPr="00752309" w:rsidRDefault="004F3CC5" w:rsidP="004F3CC5">
            <w:pPr>
              <w:rPr>
                <w:lang w:val="uk-UA"/>
              </w:rPr>
            </w:pPr>
          </w:p>
          <w:p w:rsidR="004F3CC5" w:rsidRDefault="004F3CC5" w:rsidP="004F3CC5">
            <w:pPr>
              <w:pStyle w:val="a4"/>
              <w:spacing w:before="0" w:beforeAutospacing="0" w:after="0" w:afterAutospacing="0"/>
              <w:jc w:val="both"/>
            </w:pPr>
            <w:r>
              <w:rPr>
                <w:color w:val="000000"/>
              </w:rPr>
              <w:lastRenderedPageBreak/>
              <w:t>або</w:t>
            </w:r>
          </w:p>
          <w:p w:rsidR="004F3CC5" w:rsidRPr="00752309" w:rsidRDefault="004F3CC5" w:rsidP="004F3CC5">
            <w:pPr>
              <w:rPr>
                <w:lang w:val="uk-UA"/>
              </w:rPr>
            </w:pPr>
          </w:p>
          <w:p w:rsidR="0013641F" w:rsidRDefault="004F3CC5" w:rsidP="004F3CC5">
            <w:pPr>
              <w:pStyle w:val="a4"/>
              <w:spacing w:before="0" w:beforeAutospacing="0" w:after="0" w:afterAutospacing="0" w:line="0" w:lineRule="atLeast"/>
              <w:jc w:val="both"/>
            </w:pPr>
            <w:r>
              <w:rPr>
                <w:color w:val="000000"/>
              </w:rPr>
              <w:t>Переможець процедури закупівлі, що перебуває в обставинах, зазначених</w:t>
            </w:r>
            <w:r w:rsidR="00754690">
              <w:rPr>
                <w:color w:val="000000"/>
              </w:rPr>
              <w:t xml:space="preserve"> в</w:t>
            </w:r>
            <w:r>
              <w:rPr>
                <w:color w:val="000000"/>
              </w:rPr>
              <w:t xml:space="preserve"> </w:t>
            </w:r>
            <w:r w:rsidR="00754690" w:rsidRPr="00754690">
              <w:rPr>
                <w:color w:val="000000"/>
              </w:rPr>
              <w:t>абз.14 п. 44 Особливостей</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13641F">
              <w:rPr>
                <w:color w:val="000000"/>
              </w:rPr>
              <w:t>.</w:t>
            </w:r>
          </w:p>
        </w:tc>
      </w:tr>
    </w:tbl>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B25C2F">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B25C2F">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0D431A" w:rsidTr="00B25C2F">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0F4C8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3641F"/>
    <w:rsid w:val="0004159F"/>
    <w:rsid w:val="000B5D99"/>
    <w:rsid w:val="000D431A"/>
    <w:rsid w:val="000F4C89"/>
    <w:rsid w:val="0013641F"/>
    <w:rsid w:val="004F3CC5"/>
    <w:rsid w:val="00754690"/>
    <w:rsid w:val="00981FDE"/>
    <w:rsid w:val="00B25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040">
      <w:bodyDiv w:val="1"/>
      <w:marLeft w:val="0"/>
      <w:marRight w:val="0"/>
      <w:marTop w:val="0"/>
      <w:marBottom w:val="0"/>
      <w:divBdr>
        <w:top w:val="none" w:sz="0" w:space="0" w:color="auto"/>
        <w:left w:val="none" w:sz="0" w:space="0" w:color="auto"/>
        <w:bottom w:val="none" w:sz="0" w:space="0" w:color="auto"/>
        <w:right w:val="none" w:sz="0" w:space="0" w:color="auto"/>
      </w:divBdr>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3516-C9F5-4E0B-AD57-645E8217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3</cp:revision>
  <dcterms:created xsi:type="dcterms:W3CDTF">2023-02-26T19:37:00Z</dcterms:created>
  <dcterms:modified xsi:type="dcterms:W3CDTF">2023-03-24T13:04:00Z</dcterms:modified>
</cp:coreProperties>
</file>