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0A61DC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F86E86" w:rsidRDefault="00011A91" w:rsidP="00011A91">
      <w:pPr>
        <w:tabs>
          <w:tab w:val="left" w:pos="8931"/>
        </w:tabs>
        <w:jc w:val="both"/>
        <w:rPr>
          <w:b/>
          <w:bCs/>
        </w:rPr>
      </w:pPr>
      <w:r w:rsidRPr="00F86E86">
        <w:rPr>
          <w:b/>
          <w:bCs/>
        </w:rPr>
        <w:t xml:space="preserve">від </w:t>
      </w:r>
      <w:r w:rsidR="000A61DC">
        <w:rPr>
          <w:b/>
          <w:bCs/>
        </w:rPr>
        <w:t>24 січня</w:t>
      </w:r>
      <w:r w:rsidRPr="00AE0906">
        <w:rPr>
          <w:b/>
          <w:bCs/>
          <w:color w:val="FF0000"/>
        </w:rPr>
        <w:t xml:space="preserve"> </w:t>
      </w:r>
      <w:r w:rsidRPr="000A61DC">
        <w:rPr>
          <w:b/>
          <w:bCs/>
          <w:color w:val="000000" w:themeColor="text1"/>
        </w:rPr>
        <w:t>202</w:t>
      </w:r>
      <w:r>
        <w:rPr>
          <w:b/>
          <w:bCs/>
        </w:rPr>
        <w:t>3</w:t>
      </w:r>
      <w:r w:rsidRPr="00F86E86">
        <w:rPr>
          <w:b/>
          <w:bCs/>
        </w:rPr>
        <w:t xml:space="preserve"> 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0A61DC" w:rsidRPr="000A61DC" w:rsidRDefault="00011A91" w:rsidP="000A61DC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закупівель:</w:t>
      </w:r>
      <w:r w:rsidR="00AE0906">
        <w:rPr>
          <w:b/>
        </w:rPr>
        <w:t>_</w:t>
      </w:r>
      <w:r w:rsidR="000A61DC" w:rsidRPr="000A61DC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8" w:tgtFrame="_blank" w:tooltip="Оголошення на порталі Уповноваженого органу" w:history="1">
        <w:r w:rsidR="000A61DC" w:rsidRPr="000A61DC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UA-2024-01-10-003252-a</w:t>
        </w:r>
      </w:hyperlink>
    </w:p>
    <w:p w:rsidR="00011A91" w:rsidRPr="00F86E86" w:rsidRDefault="00011A91" w:rsidP="00011A91">
      <w:pPr>
        <w:tabs>
          <w:tab w:val="left" w:pos="567"/>
        </w:tabs>
        <w:jc w:val="both"/>
        <w:rPr>
          <w:bCs/>
        </w:rPr>
      </w:pPr>
    </w:p>
    <w:p w:rsidR="000A61DC" w:rsidRPr="000A61DC" w:rsidRDefault="00011A91" w:rsidP="000A61DC">
      <w:pPr>
        <w:pStyle w:val="a7"/>
        <w:rPr>
          <w:shd w:val="clear" w:color="auto" w:fill="FFFFFF"/>
        </w:rPr>
      </w:pPr>
      <w:r w:rsidRPr="000A61DC">
        <w:rPr>
          <w:b/>
          <w:shd w:val="clear" w:color="auto" w:fill="FFFFFF"/>
        </w:rPr>
        <w:t>7.</w:t>
      </w:r>
      <w:r w:rsidRPr="000A61DC">
        <w:rPr>
          <w:b/>
          <w:shd w:val="clear" w:color="auto" w:fill="FFFFFF"/>
        </w:rPr>
        <w:tab/>
        <w:t>Назва предмета закупівлі та частин предмета закупівлі (лотів) (за наявності):</w:t>
      </w:r>
      <w:r w:rsidR="000A61DC" w:rsidRPr="000A61DC">
        <w:rPr>
          <w:shd w:val="clear" w:color="auto" w:fill="FFFFFF"/>
        </w:rPr>
        <w:t xml:space="preserve"> </w:t>
      </w:r>
      <w:r w:rsidR="000A61DC" w:rsidRPr="000A61DC">
        <w:rPr>
          <w:shd w:val="clear" w:color="auto" w:fill="FFFFFF"/>
        </w:rPr>
        <w:t>Амперметр, вольтметр, вимірювальні щупи, детектор прихованої проводки, кліщі струмовимірювальні, комплет шнурів, мультиметр, покажчик напруги, тестор напруги, обжимний інструмент, щупи до мультиметру</w:t>
      </w:r>
    </w:p>
    <w:p w:rsidR="00011A91" w:rsidRPr="00AE0906" w:rsidRDefault="00011A91" w:rsidP="00011A91">
      <w:pPr>
        <w:tabs>
          <w:tab w:val="left" w:pos="567"/>
        </w:tabs>
        <w:jc w:val="both"/>
        <w:rPr>
          <w:bCs/>
          <w:color w:val="FF0000"/>
        </w:rPr>
      </w:pPr>
      <w:r w:rsidRPr="00AE0906">
        <w:rPr>
          <w:b/>
          <w:color w:val="FF0000"/>
        </w:rPr>
        <w:t xml:space="preserve"> </w:t>
      </w:r>
    </w:p>
    <w:p w:rsidR="00011A91" w:rsidRPr="00F86E86" w:rsidRDefault="00011A91" w:rsidP="00011A91">
      <w:pPr>
        <w:tabs>
          <w:tab w:val="left" w:pos="426"/>
        </w:tabs>
        <w:jc w:val="both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</w:r>
      <w:r w:rsidRPr="00F86E86">
        <w:rPr>
          <w:lang w:eastAsia="uk-UA"/>
        </w:rPr>
        <w:t>Продовження кінцевого строку подання тендерних пропозицій в електронній системі закупівель.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2.</w:t>
      </w:r>
      <w:r w:rsidRPr="00F86E86">
        <w:tab/>
        <w:t>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</w:rPr>
      </w:pPr>
      <w:r w:rsidRPr="00F86E86">
        <w:t>3.</w:t>
      </w:r>
      <w:r w:rsidRPr="00F86E86">
        <w:tab/>
        <w:t xml:space="preserve">Оприлюднення </w:t>
      </w:r>
      <w:r w:rsidRPr="001A03E3">
        <w:rPr>
          <w:lang w:eastAsia="uk-UA"/>
        </w:rPr>
        <w:t>нової редакції тендерної документації</w:t>
      </w:r>
      <w:r w:rsidRPr="00F86E86">
        <w:rPr>
          <w:lang w:eastAsia="uk-UA"/>
        </w:rPr>
        <w:t xml:space="preserve"> </w:t>
      </w:r>
      <w:r w:rsidRPr="00F86E86">
        <w:t>та окремого документу</w:t>
      </w:r>
      <w:r w:rsidRPr="00F86E86">
        <w:rPr>
          <w:lang w:eastAsia="uk-UA"/>
        </w:rPr>
        <w:t xml:space="preserve"> з переліком змін, що вносяться,</w:t>
      </w:r>
      <w:r w:rsidRPr="00F86E86">
        <w:t xml:space="preserve"> в електронній системі закупівель відповідно до п</w:t>
      </w:r>
      <w:r>
        <w:t>ункту</w:t>
      </w:r>
      <w:r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0A61DC" w:rsidRDefault="00011A91" w:rsidP="00011A91">
      <w:pPr>
        <w:spacing w:before="80"/>
        <w:rPr>
          <w:b/>
          <w:color w:val="000000" w:themeColor="text1"/>
        </w:rPr>
      </w:pPr>
      <w:r w:rsidRPr="000A61DC">
        <w:rPr>
          <w:b/>
          <w:color w:val="000000" w:themeColor="text1"/>
        </w:rPr>
        <w:t>Щодо першого питання порядку денного:</w:t>
      </w:r>
    </w:p>
    <w:p w:rsidR="00011A91" w:rsidRPr="000A61DC" w:rsidRDefault="00011A91" w:rsidP="00011A91">
      <w:pPr>
        <w:jc w:val="both"/>
        <w:rPr>
          <w:color w:val="000000" w:themeColor="text1"/>
        </w:rPr>
      </w:pPr>
      <w:r w:rsidRPr="000A61DC">
        <w:rPr>
          <w:color w:val="000000" w:themeColor="text1"/>
        </w:rPr>
        <w:tab/>
        <w:t xml:space="preserve">Відповідно до пункту 51 Особливостей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</w:r>
      <w:r w:rsidRPr="000A61DC">
        <w:rPr>
          <w:color w:val="000000" w:themeColor="text1"/>
          <w:lang w:eastAsia="uk-UA"/>
        </w:rPr>
        <w:t>4 (чотирьох) днів.</w:t>
      </w:r>
    </w:p>
    <w:p w:rsidR="00011A91" w:rsidRPr="000A61DC" w:rsidRDefault="00011A91" w:rsidP="00011A91">
      <w:pPr>
        <w:ind w:firstLine="708"/>
        <w:jc w:val="both"/>
        <w:rPr>
          <w:color w:val="000000" w:themeColor="text1"/>
        </w:rPr>
      </w:pPr>
      <w:r w:rsidRPr="000A61DC">
        <w:rPr>
          <w:color w:val="000000" w:themeColor="text1"/>
        </w:rPr>
        <w:t>Враховуючи вищенаведене, є необхідність в продовженні кінцевого строку подання тендерних</w:t>
      </w:r>
      <w:r w:rsidRPr="000A61DC">
        <w:rPr>
          <w:color w:val="000000" w:themeColor="text1"/>
          <w:lang w:eastAsia="uk-UA"/>
        </w:rPr>
        <w:t xml:space="preserve"> пропозицій </w:t>
      </w:r>
      <w:r w:rsidRPr="000A61DC">
        <w:rPr>
          <w:color w:val="000000" w:themeColor="text1"/>
        </w:rPr>
        <w:t xml:space="preserve">до </w:t>
      </w:r>
      <w:r w:rsidR="000A61DC" w:rsidRPr="000A61DC">
        <w:rPr>
          <w:color w:val="000000" w:themeColor="text1"/>
        </w:rPr>
        <w:t>10</w:t>
      </w:r>
      <w:r w:rsidRPr="000A61DC">
        <w:rPr>
          <w:color w:val="000000" w:themeColor="text1"/>
        </w:rPr>
        <w:t xml:space="preserve">:00 </w:t>
      </w:r>
      <w:r w:rsidR="000A61DC" w:rsidRPr="000A61DC">
        <w:rPr>
          <w:color w:val="000000" w:themeColor="text1"/>
        </w:rPr>
        <w:t>29</w:t>
      </w:r>
      <w:r w:rsidRPr="000A61DC">
        <w:rPr>
          <w:color w:val="000000" w:themeColor="text1"/>
        </w:rPr>
        <w:t xml:space="preserve"> </w:t>
      </w:r>
      <w:r w:rsidR="000A61DC" w:rsidRPr="000A61DC">
        <w:rPr>
          <w:color w:val="000000" w:themeColor="text1"/>
        </w:rPr>
        <w:t>січня</w:t>
      </w:r>
      <w:r w:rsidRPr="000A61DC">
        <w:rPr>
          <w:color w:val="000000" w:themeColor="text1"/>
        </w:rPr>
        <w:t xml:space="preserve"> 202</w:t>
      </w:r>
      <w:r w:rsidR="000A61DC" w:rsidRPr="000A61DC">
        <w:rPr>
          <w:color w:val="000000" w:themeColor="text1"/>
        </w:rPr>
        <w:t>4</w:t>
      </w:r>
      <w:r w:rsidRPr="000A61DC">
        <w:rPr>
          <w:color w:val="000000" w:themeColor="text1"/>
        </w:rPr>
        <w:t xml:space="preserve"> р.</w:t>
      </w:r>
    </w:p>
    <w:p w:rsidR="00011A91" w:rsidRPr="000A61DC" w:rsidRDefault="00011A91" w:rsidP="00011A91">
      <w:pPr>
        <w:tabs>
          <w:tab w:val="left" w:pos="567"/>
        </w:tabs>
        <w:jc w:val="both"/>
        <w:rPr>
          <w:color w:val="000000" w:themeColor="text1"/>
        </w:rPr>
      </w:pPr>
      <w:bookmarkStart w:id="0" w:name="_GoBack"/>
      <w:bookmarkEnd w:id="0"/>
    </w:p>
    <w:p w:rsidR="00011A91" w:rsidRPr="000A61DC" w:rsidRDefault="00011A91" w:rsidP="00011A91">
      <w:pPr>
        <w:rPr>
          <w:b/>
          <w:color w:val="000000" w:themeColor="text1"/>
        </w:rPr>
      </w:pPr>
      <w:r w:rsidRPr="000A61DC">
        <w:rPr>
          <w:b/>
          <w:color w:val="000000" w:themeColor="text1"/>
        </w:rPr>
        <w:t>Щодо другого питання порядку денного:</w:t>
      </w:r>
    </w:p>
    <w:p w:rsidR="00011A91" w:rsidRPr="000A61DC" w:rsidRDefault="00011A91" w:rsidP="00011A91">
      <w:pPr>
        <w:tabs>
          <w:tab w:val="left" w:pos="567"/>
        </w:tabs>
        <w:jc w:val="both"/>
        <w:rPr>
          <w:color w:val="000000" w:themeColor="text1"/>
        </w:rPr>
      </w:pPr>
      <w:r w:rsidRPr="000A61DC">
        <w:rPr>
          <w:color w:val="000000" w:themeColor="text1"/>
        </w:rPr>
        <w:tab/>
      </w:r>
      <w:bookmarkStart w:id="1" w:name="_Hlk36724540"/>
      <w:r w:rsidRPr="000A61DC">
        <w:rPr>
          <w:color w:val="000000" w:themeColor="text1"/>
        </w:rPr>
        <w:t>Відповідно до пункту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0A61DC">
          <w:rPr>
            <w:color w:val="000000" w:themeColor="text1"/>
          </w:rPr>
          <w:t>статті 8</w:t>
        </w:r>
      </w:hyperlink>
      <w:r w:rsidRPr="000A61DC">
        <w:rPr>
          <w:color w:val="000000" w:themeColor="text1"/>
        </w:rPr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0A61DC">
        <w:rPr>
          <w:color w:val="000000" w:themeColor="text1"/>
          <w:lang w:eastAsia="uk-UA"/>
        </w:rPr>
        <w:t xml:space="preserve">. </w:t>
      </w:r>
    </w:p>
    <w:bookmarkEnd w:id="1"/>
    <w:p w:rsidR="00011A91" w:rsidRPr="000A61DC" w:rsidRDefault="00011A91" w:rsidP="00011A91">
      <w:pPr>
        <w:tabs>
          <w:tab w:val="left" w:pos="567"/>
        </w:tabs>
        <w:jc w:val="both"/>
        <w:rPr>
          <w:color w:val="000000" w:themeColor="text1"/>
          <w:lang w:eastAsia="uk-UA"/>
        </w:rPr>
      </w:pP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0A61DC">
        <w:rPr>
          <w:color w:val="000000" w:themeColor="text1"/>
        </w:rPr>
        <w:t>У відповідь на звернення учасника процедури закупівлі до тендерної документації необхідно внести наступні зміни</w:t>
      </w:r>
      <w:r w:rsidRPr="000A61DC">
        <w:rPr>
          <w:color w:val="000000" w:themeColor="text1"/>
          <w:lang w:eastAsia="uk-UA"/>
        </w:rPr>
        <w:t>:</w:t>
      </w: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0A61DC">
        <w:rPr>
          <w:color w:val="000000" w:themeColor="text1"/>
          <w:lang w:eastAsia="uk-UA"/>
        </w:rPr>
        <w:t>Зміна №1.</w:t>
      </w:r>
    </w:p>
    <w:p w:rsidR="000A61DC" w:rsidRPr="000A61DC" w:rsidRDefault="000A61D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0A61DC">
        <w:rPr>
          <w:color w:val="000000" w:themeColor="text1"/>
          <w:lang w:eastAsia="uk-UA"/>
        </w:rPr>
        <w:t>Внести зміни у п 8 «Кваліфікаційні вимоги» розділу тендерної документації та викласти їх у наступній редакції:</w:t>
      </w:r>
    </w:p>
    <w:p w:rsidR="000A61DC" w:rsidRPr="000A61DC" w:rsidRDefault="000A61DC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0A61DC" w:rsidRPr="007F2B94" w:rsidRDefault="000A61DC" w:rsidP="000A61DC">
      <w:pPr>
        <w:pStyle w:val="HTML"/>
        <w:tabs>
          <w:tab w:val="clear" w:pos="916"/>
          <w:tab w:val="clear" w:pos="1832"/>
          <w:tab w:val="num" w:pos="1260"/>
        </w:tabs>
        <w:jc w:val="both"/>
        <w:rPr>
          <w:rFonts w:ascii="Times New Roman" w:hAnsi="Times New Roman"/>
          <w:b/>
          <w:sz w:val="24"/>
          <w:u w:val="single"/>
        </w:rPr>
      </w:pPr>
      <w:r w:rsidRPr="007F2B94">
        <w:rPr>
          <w:rFonts w:ascii="Times New Roman" w:hAnsi="Times New Roman"/>
          <w:b/>
          <w:sz w:val="24"/>
          <w:u w:val="single"/>
        </w:rPr>
        <w:t>Документи, що підтверджують відповідність учасника процедури закупівлі установленим кваліфікаційним (кваліфікаційному) критеріям:</w:t>
      </w:r>
    </w:p>
    <w:p w:rsidR="000A61DC" w:rsidRPr="00C076F5" w:rsidRDefault="000A61DC" w:rsidP="000A61DC">
      <w:pPr>
        <w:pStyle w:val="HTML"/>
        <w:tabs>
          <w:tab w:val="clear" w:pos="916"/>
          <w:tab w:val="clear" w:pos="1832"/>
          <w:tab w:val="num" w:pos="12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Замовник установлює один або декілька кваліфікаційних критеріїв відповідно до статті 16 Закону.</w:t>
      </w:r>
    </w:p>
    <w:p w:rsidR="000A61DC" w:rsidRDefault="000A61DC" w:rsidP="000A61DC">
      <w:pPr>
        <w:pStyle w:val="HTML"/>
        <w:tabs>
          <w:tab w:val="clear" w:pos="916"/>
          <w:tab w:val="clear" w:pos="1832"/>
          <w:tab w:val="num" w:pos="1260"/>
        </w:tabs>
        <w:jc w:val="both"/>
        <w:rPr>
          <w:rFonts w:ascii="Times New Roman" w:hAnsi="Times New Roman"/>
          <w:sz w:val="24"/>
        </w:rPr>
      </w:pPr>
      <w:r w:rsidRPr="00C076F5">
        <w:rPr>
          <w:rFonts w:ascii="Times New Roman" w:hAnsi="Times New Roman"/>
          <w:sz w:val="24"/>
        </w:rPr>
        <w:t>Документи, що підтверджують відповідність учасника процедури закупівлі кваліфікаційним (кваліфікаційному) критеріям:</w:t>
      </w:r>
    </w:p>
    <w:p w:rsidR="000A61DC" w:rsidRPr="002F01BE" w:rsidRDefault="000A61DC" w:rsidP="000A61DC">
      <w:pPr>
        <w:pStyle w:val="HTML"/>
        <w:numPr>
          <w:ilvl w:val="0"/>
          <w:numId w:val="1"/>
        </w:numPr>
        <w:tabs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bCs/>
          <w:sz w:val="24"/>
        </w:rPr>
      </w:pPr>
      <w:r w:rsidRPr="002F01BE">
        <w:rPr>
          <w:rFonts w:ascii="Times New Roman" w:hAnsi="Times New Roman"/>
          <w:sz w:val="24"/>
        </w:rPr>
        <w:t>власна довідка з інформацією про постачання товарів, аналогічних за предметом закупівлі (з зазначенням назви організації, ідентифікаційного коду за ЄДРПОУ, юридичної адреси; предмету договору, номеру та дати договору, суми договору; кількісного обсягу виконання договору з постачання товарів, аналогічних за предметом закупівлі; П.І.П., посади, телефону, e-mail посадової особи контрагента, яка відповідала за виконання договору).</w:t>
      </w:r>
      <w:r w:rsidRPr="002F01BE">
        <w:t xml:space="preserve"> </w:t>
      </w:r>
      <w:r w:rsidRPr="002F01BE">
        <w:rPr>
          <w:rFonts w:ascii="Times New Roman" w:hAnsi="Times New Roman"/>
          <w:bCs/>
          <w:sz w:val="24"/>
        </w:rPr>
        <w:t>Довідка надається в довільній формі.</w:t>
      </w:r>
    </w:p>
    <w:p w:rsidR="000A61DC" w:rsidRDefault="000A61DC" w:rsidP="000A61DC">
      <w:pPr>
        <w:tabs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both"/>
        <w:rPr>
          <w:bCs/>
        </w:rPr>
      </w:pPr>
      <w:r w:rsidRPr="002F01BE">
        <w:rPr>
          <w:bCs/>
        </w:rPr>
        <w:t>Аналогічним вважатиметься договір, предметом поставки якого є товар з кодом згідно з Національним класифікатором України     ДК 021:2015 «Єдиний закупівельний словник», ідентичним коду закупівлі за показником четвертої цифри, або з найменуванням товару, ідентичним назві предмету закупівлі (якщо предметом аналогічного договору є декілька найменувань товару, ідентичним буде вважатися договір, який має хоча б одне найменування, ідентичне назві предмету закупівлі).</w:t>
      </w:r>
    </w:p>
    <w:p w:rsidR="000A61DC" w:rsidRPr="002F01BE" w:rsidRDefault="000A61DC" w:rsidP="000A61DC">
      <w:pPr>
        <w:numPr>
          <w:ilvl w:val="0"/>
          <w:numId w:val="1"/>
        </w:numPr>
        <w:tabs>
          <w:tab w:val="num" w:pos="252"/>
          <w:tab w:val="num" w:pos="299"/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 w:hanging="16"/>
        <w:jc w:val="both"/>
        <w:rPr>
          <w:bCs/>
        </w:rPr>
      </w:pPr>
      <w:r w:rsidRPr="002F01BE">
        <w:t>Кількісний обсяг виконання аналогічного договору з постачання товарів не повинен бути менше ніж 50 (п’ятдесят) % від обсягу, що вимагається закупівлею</w:t>
      </w:r>
      <w:r w:rsidRPr="002F01BE">
        <w:rPr>
          <w:bCs/>
        </w:rPr>
        <w:t>)</w:t>
      </w:r>
      <w:r>
        <w:rPr>
          <w:bCs/>
        </w:rPr>
        <w:t>, а саме не менше 100шт.</w:t>
      </w:r>
    </w:p>
    <w:p w:rsidR="000A61DC" w:rsidRPr="002F01BE" w:rsidRDefault="000A61DC" w:rsidP="000A61DC">
      <w:pPr>
        <w:tabs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/>
        <w:jc w:val="both"/>
        <w:rPr>
          <w:bCs/>
        </w:rPr>
      </w:pPr>
    </w:p>
    <w:p w:rsidR="000A61DC" w:rsidRPr="00C076F5" w:rsidRDefault="000A61DC" w:rsidP="000A61DC">
      <w:pPr>
        <w:tabs>
          <w:tab w:val="left" w:pos="851"/>
          <w:tab w:val="left" w:pos="1980"/>
          <w:tab w:val="center" w:pos="4677"/>
          <w:tab w:val="right" w:pos="9355"/>
        </w:tabs>
        <w:jc w:val="both"/>
      </w:pPr>
      <w:r w:rsidRPr="000675FB">
        <w:t>Довідка</w:t>
      </w:r>
      <w:r w:rsidRPr="00C076F5">
        <w:t xml:space="preserve"> повинна супроводжуватись:</w:t>
      </w:r>
    </w:p>
    <w:p w:rsidR="000A61DC" w:rsidRPr="000675FB" w:rsidRDefault="000A61DC" w:rsidP="000A61DC">
      <w:pPr>
        <w:numPr>
          <w:ilvl w:val="0"/>
          <w:numId w:val="1"/>
        </w:numPr>
        <w:tabs>
          <w:tab w:val="num" w:pos="252"/>
          <w:tab w:val="num" w:pos="299"/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 w:hanging="16"/>
        <w:jc w:val="both"/>
      </w:pPr>
      <w:r w:rsidRPr="000675FB">
        <w:t xml:space="preserve">реалізованим </w:t>
      </w:r>
      <w:r>
        <w:t xml:space="preserve"> договором </w:t>
      </w:r>
      <w:r w:rsidRPr="000675FB">
        <w:t>поставки, зазначеним у довідці (з усіма укладеними додатковими угодами, додатками, специфікаціями тощо);</w:t>
      </w:r>
    </w:p>
    <w:p w:rsidR="000A61DC" w:rsidRPr="000675FB" w:rsidRDefault="000A61DC" w:rsidP="000A61DC">
      <w:pPr>
        <w:numPr>
          <w:ilvl w:val="0"/>
          <w:numId w:val="1"/>
        </w:numPr>
        <w:tabs>
          <w:tab w:val="num" w:pos="252"/>
          <w:tab w:val="num" w:pos="299"/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 w:hanging="16"/>
        <w:jc w:val="both"/>
      </w:pPr>
      <w:r w:rsidRPr="000675FB">
        <w:t>позитивним відгуком від попереднього контрагента (контрагентів), який підтверджує факт виконання договору (договорів), зазначеного в довідці (оформленим на фірмовому бланку контрагента за підписом керівника або іншої уповноваженої службової/посадової особи, із зазначенням: номеру та дати договору, предмету договору);</w:t>
      </w:r>
    </w:p>
    <w:p w:rsidR="000A61DC" w:rsidRPr="005C2955" w:rsidRDefault="000A61DC" w:rsidP="00B36E09">
      <w:pPr>
        <w:numPr>
          <w:ilvl w:val="0"/>
          <w:numId w:val="1"/>
        </w:numPr>
        <w:tabs>
          <w:tab w:val="num" w:pos="252"/>
          <w:tab w:val="num" w:pos="299"/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" w:hanging="16"/>
        <w:jc w:val="both"/>
      </w:pPr>
      <w:r w:rsidRPr="000675FB">
        <w:t>первинними документами, що підтверджують факт виконання аналогічного договору (договорів) в частині надходження товарно-матеріальних цінностей на склад попереднього контрагента (видатковими накладними</w:t>
      </w:r>
      <w:r w:rsidRPr="000A61DC">
        <w:rPr>
          <w:bCs/>
        </w:rPr>
        <w:t xml:space="preserve">) </w:t>
      </w:r>
    </w:p>
    <w:p w:rsidR="000A61DC" w:rsidRPr="000A61DC" w:rsidRDefault="000A61DC" w:rsidP="000A61DC">
      <w:pPr>
        <w:pStyle w:val="HTML"/>
        <w:tabs>
          <w:tab w:val="clear" w:pos="916"/>
          <w:tab w:val="clear" w:pos="1832"/>
          <w:tab w:val="num" w:pos="1352"/>
          <w:tab w:val="num" w:pos="2911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C941C6">
        <w:rPr>
          <w:rFonts w:ascii="Times New Roman" w:hAnsi="Times New Roman"/>
          <w:sz w:val="24"/>
        </w:rPr>
        <w:t xml:space="preserve">Первинні документи можуть бути складені у паперовій або в електронній формі та повинні містити обов’язкові реквізити первинних документів, визначені </w:t>
      </w:r>
      <w:r>
        <w:rPr>
          <w:rFonts w:ascii="Times New Roman" w:hAnsi="Times New Roman"/>
          <w:sz w:val="24"/>
        </w:rPr>
        <w:t xml:space="preserve">у </w:t>
      </w:r>
      <w:r w:rsidRPr="00C941C6">
        <w:rPr>
          <w:rFonts w:ascii="Times New Roman" w:hAnsi="Times New Roman"/>
          <w:sz w:val="24"/>
        </w:rPr>
        <w:t>ст</w:t>
      </w:r>
      <w:r>
        <w:rPr>
          <w:rFonts w:ascii="Times New Roman" w:hAnsi="Times New Roman"/>
          <w:sz w:val="24"/>
        </w:rPr>
        <w:t>атті</w:t>
      </w:r>
      <w:r w:rsidRPr="00C941C6">
        <w:rPr>
          <w:rFonts w:ascii="Times New Roman" w:hAnsi="Times New Roman"/>
          <w:sz w:val="24"/>
        </w:rPr>
        <w:t xml:space="preserve"> 9 Закону України «Про бухгалтерський облік та фінансову звітність в Україні</w:t>
      </w:r>
      <w:r w:rsidRPr="000675FB">
        <w:rPr>
          <w:rFonts w:ascii="Times New Roman" w:hAnsi="Times New Roman"/>
          <w:sz w:val="24"/>
        </w:rPr>
        <w:t>» від 16 липня 1999 р. №996-XIV з врахуванням вимог Положення про документальне забезпечення записів у бухгалтерському обліку, затвердженого наказом М</w:t>
      </w:r>
      <w:r w:rsidRPr="000A61DC">
        <w:rPr>
          <w:rFonts w:ascii="Times New Roman" w:hAnsi="Times New Roman"/>
          <w:color w:val="000000" w:themeColor="text1"/>
          <w:sz w:val="24"/>
        </w:rPr>
        <w:t>інфіну від 24 травня 1995 р. №88. Первинні документи, створені в електронному вигляді, повинні відповідати вимогам законодавства про електронні документи та електронний документообіг.</w:t>
      </w:r>
    </w:p>
    <w:p w:rsidR="000A61DC" w:rsidRPr="000A61DC" w:rsidRDefault="000A61DC" w:rsidP="000A61DC">
      <w:pPr>
        <w:jc w:val="both"/>
        <w:rPr>
          <w:color w:val="000000" w:themeColor="text1"/>
        </w:rPr>
      </w:pPr>
      <w:r w:rsidRPr="000A61DC">
        <w:rPr>
          <w:color w:val="000000" w:themeColor="text1"/>
        </w:rPr>
        <w:t>Первинні документи повинні містити такі обов’язкові реквізити: найменування підприємства, установи, від імені яких складений документ, назву документа (форми), дату складання, зміст та обсяг господарської операції, одиницю виміру господарської операції (у натуральному та/або вартісному виразі), посади і прізвища осіб, відповідальних за здійснення господарської операції і правильність її оформлення, особистий підпис або інші дані, що дають змогу ідентифікувати особу, яка брала участь у здійсненні господарської операції.</w:t>
      </w:r>
    </w:p>
    <w:p w:rsidR="000A61DC" w:rsidRPr="000A61DC" w:rsidRDefault="000A61DC" w:rsidP="000A61DC">
      <w:pPr>
        <w:jc w:val="both"/>
        <w:rPr>
          <w:color w:val="000000" w:themeColor="text1"/>
        </w:rPr>
      </w:pPr>
      <w:r w:rsidRPr="000A61DC">
        <w:rPr>
          <w:color w:val="000000" w:themeColor="text1"/>
        </w:rPr>
        <w:t>Залежно від характеру операції та технології обробки даних до первинних документів можуть бути включені додаткові реквізити: ідентифікаційний код підприємства, установи з Державного реєстру, номер документа, підстава для здійснення операцій, дані про документ, що засвідчує особу-одержувача тощо.</w:t>
      </w:r>
    </w:p>
    <w:p w:rsidR="000A61DC" w:rsidRPr="000A61DC" w:rsidRDefault="000A61DC" w:rsidP="000A61DC">
      <w:pPr>
        <w:pStyle w:val="HTML"/>
        <w:tabs>
          <w:tab w:val="num" w:pos="1352"/>
          <w:tab w:val="num" w:pos="2911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0A61DC">
        <w:rPr>
          <w:rFonts w:ascii="Times New Roman" w:hAnsi="Times New Roman"/>
          <w:color w:val="000000" w:themeColor="text1"/>
          <w:sz w:val="24"/>
        </w:rPr>
        <w:t>Неістотні недоліки в документах, що містять відомості про господарську операцію, не є підставою для невизнання господарської операції, за умови, що такі недоліки не перешкоджають можливості ідентифікувати особу, яка брала участь у здійсненні господарської операції, та містять відомості про дату складання документа, назву підприємства, від імені якого складено документ, зміст та обсяг господарської операції тощо.</w:t>
      </w:r>
    </w:p>
    <w:p w:rsidR="000A61DC" w:rsidRPr="000A61DC" w:rsidRDefault="000A61DC" w:rsidP="000A61DC">
      <w:pPr>
        <w:jc w:val="both"/>
        <w:rPr>
          <w:color w:val="000000" w:themeColor="text1"/>
        </w:rPr>
      </w:pPr>
      <w:r w:rsidRPr="000A61DC">
        <w:rPr>
          <w:color w:val="000000" w:themeColor="text1"/>
        </w:rPr>
        <w:t>Документ має бути підписаний особисто, а підпис може бути скріплений печаткою. Електронний підпис накладається відповідно до законодавства про електронні документи та електронний документообіг.</w:t>
      </w:r>
    </w:p>
    <w:p w:rsidR="000A61DC" w:rsidRPr="000A61DC" w:rsidRDefault="000A61DC" w:rsidP="000A61DC">
      <w:pPr>
        <w:jc w:val="both"/>
        <w:rPr>
          <w:color w:val="000000" w:themeColor="text1"/>
        </w:rPr>
      </w:pPr>
      <w:r w:rsidRPr="000A61DC">
        <w:rPr>
          <w:color w:val="000000" w:themeColor="text1"/>
        </w:rPr>
        <w:t>Використання при оформленні первинних документів факсимільного відтворення підпису допускається у порядку, встановленому законом, іншими актами цивільного законодавства.</w:t>
      </w:r>
    </w:p>
    <w:p w:rsidR="000A61DC" w:rsidRPr="000A61DC" w:rsidRDefault="000A61DC" w:rsidP="000A61DC">
      <w:pPr>
        <w:jc w:val="both"/>
        <w:rPr>
          <w:color w:val="000000" w:themeColor="text1"/>
        </w:rPr>
      </w:pPr>
      <w:r w:rsidRPr="000A61DC">
        <w:rPr>
          <w:color w:val="000000" w:themeColor="text1"/>
        </w:rPr>
        <w:lastRenderedPageBreak/>
        <w:t>Якщо у видаткових накладних та довіреностях не зазначені номер і дата аналогічного договору, то учасником процедури закупівлі додатково надаються первинні бухгалтерські документи, в яких зазначені номер і дата аналогічного договору (рахунок-фактура тощо).</w:t>
      </w: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0A61DC">
        <w:rPr>
          <w:color w:val="000000" w:themeColor="text1"/>
          <w:lang w:eastAsia="uk-UA"/>
        </w:rPr>
        <w:t>Зміна №2.</w:t>
      </w:r>
    </w:p>
    <w:p w:rsidR="00011A91" w:rsidRPr="000A61DC" w:rsidRDefault="00011A91" w:rsidP="00011A91">
      <w:pPr>
        <w:jc w:val="both"/>
        <w:rPr>
          <w:color w:val="000000" w:themeColor="text1"/>
        </w:rPr>
      </w:pP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0A61DC">
        <w:rPr>
          <w:color w:val="000000" w:themeColor="text1"/>
          <w:lang w:eastAsia="uk-UA"/>
        </w:rPr>
        <w:t xml:space="preserve">Інформацію про кінцевий строк подання тендерних пропозицій в п. 1 Розділу 4 тендерної документації викласти в наступній редакції: </w:t>
      </w: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0A61DC">
        <w:rPr>
          <w:color w:val="000000" w:themeColor="text1"/>
        </w:rPr>
        <w:t>Кінцевий строк подання тендерних пропозицій:</w:t>
      </w:r>
    </w:p>
    <w:p w:rsidR="00011A91" w:rsidRPr="000A61DC" w:rsidRDefault="00011A91" w:rsidP="00011A91">
      <w:pPr>
        <w:tabs>
          <w:tab w:val="left" w:pos="567"/>
        </w:tabs>
        <w:ind w:firstLine="567"/>
        <w:jc w:val="both"/>
        <w:rPr>
          <w:b/>
          <w:color w:val="000000" w:themeColor="text1"/>
        </w:rPr>
      </w:pPr>
      <w:r w:rsidRPr="000A61DC">
        <w:rPr>
          <w:b/>
          <w:color w:val="000000" w:themeColor="text1"/>
        </w:rPr>
        <w:t xml:space="preserve">до </w:t>
      </w:r>
      <w:r w:rsidR="000A61DC" w:rsidRPr="000A61DC">
        <w:rPr>
          <w:b/>
          <w:color w:val="000000" w:themeColor="text1"/>
          <w:lang w:val="ru-RU"/>
        </w:rPr>
        <w:t>10-00</w:t>
      </w:r>
      <w:r w:rsidRPr="000A61DC">
        <w:rPr>
          <w:b/>
          <w:color w:val="000000" w:themeColor="text1"/>
        </w:rPr>
        <w:t xml:space="preserve"> </w:t>
      </w:r>
      <w:r w:rsidR="000A61DC" w:rsidRPr="000A61DC">
        <w:rPr>
          <w:b/>
          <w:color w:val="000000" w:themeColor="text1"/>
        </w:rPr>
        <w:t>29 січня 2024</w:t>
      </w:r>
      <w:r w:rsidRPr="000A61DC">
        <w:rPr>
          <w:b/>
          <w:color w:val="000000" w:themeColor="text1"/>
        </w:rPr>
        <w:t xml:space="preserve"> р.</w:t>
      </w:r>
    </w:p>
    <w:p w:rsidR="00011A91" w:rsidRPr="00AE0906" w:rsidRDefault="00011A91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011A91" w:rsidRPr="00F86E86" w:rsidRDefault="00011A91" w:rsidP="00011A91">
      <w:pPr>
        <w:rPr>
          <w:b/>
        </w:rPr>
      </w:pPr>
      <w:r w:rsidRPr="00F86E86">
        <w:rPr>
          <w:b/>
        </w:rPr>
        <w:t>Щодо третього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</w:r>
      <w:r w:rsidRPr="00F86E86">
        <w:rPr>
          <w:lang w:eastAsia="uk-UA"/>
        </w:rPr>
        <w:t>Продовжити кінцевий строк подання тендерних пропозицій в електронній системі закупівель.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2.</w:t>
      </w:r>
      <w:r w:rsidRPr="00F86E86">
        <w:tab/>
        <w:t xml:space="preserve">Внести зміни до </w:t>
      </w:r>
      <w:r w:rsidRPr="00F86E86">
        <w:rPr>
          <w:lang w:eastAsia="uk-UA"/>
        </w:rPr>
        <w:t>тендерної документації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>3.</w:t>
      </w:r>
      <w:r w:rsidRPr="00F86E86">
        <w:tab/>
        <w:t xml:space="preserve">Оприлюднити нову редакцію </w:t>
      </w:r>
      <w:r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>
        <w:rPr>
          <w:lang w:eastAsia="uk-UA"/>
        </w:rPr>
        <w:t>ункту</w:t>
      </w:r>
      <w:r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C401C2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B" w:rsidRDefault="005024DB">
      <w:r>
        <w:separator/>
      </w:r>
    </w:p>
  </w:endnote>
  <w:endnote w:type="continuationSeparator" w:id="0">
    <w:p w:rsidR="005024DB" w:rsidRDefault="005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5024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B" w:rsidRDefault="005024DB">
      <w:r>
        <w:separator/>
      </w:r>
    </w:p>
  </w:footnote>
  <w:footnote w:type="continuationSeparator" w:id="0">
    <w:p w:rsidR="005024DB" w:rsidRDefault="0050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A61DC"/>
    <w:rsid w:val="00167875"/>
    <w:rsid w:val="00241DCF"/>
    <w:rsid w:val="005024DB"/>
    <w:rsid w:val="005451B4"/>
    <w:rsid w:val="006221D0"/>
    <w:rsid w:val="006A55FB"/>
    <w:rsid w:val="00A143BE"/>
    <w:rsid w:val="00AE0906"/>
    <w:rsid w:val="00B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11B0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js-apiid">
    <w:name w:val="js-apiid"/>
    <w:basedOn w:val="a0"/>
    <w:rsid w:val="000A61DC"/>
  </w:style>
  <w:style w:type="character" w:customStyle="1" w:styleId="10">
    <w:name w:val="Заголовок 1 Знак"/>
    <w:basedOn w:val="a0"/>
    <w:link w:val="1"/>
    <w:uiPriority w:val="9"/>
    <w:rsid w:val="000A61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0A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0A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0A61DC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1-10-003252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5978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2024-01-24T13:39:00Z</dcterms:created>
  <dcterms:modified xsi:type="dcterms:W3CDTF">2024-01-24T13:39:00Z</dcterms:modified>
</cp:coreProperties>
</file>