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E37AB9" w:rsidRDefault="00E37AB9" w:rsidP="00F712D3">
      <w:pPr>
        <w:pStyle w:val="2"/>
        <w:jc w:val="right"/>
        <w:rPr>
          <w:rFonts w:ascii="Times New Roman" w:hAnsi="Times New Roman"/>
          <w:szCs w:val="24"/>
          <w:lang w:val="uk-UA"/>
        </w:rPr>
      </w:pPr>
    </w:p>
    <w:p w:rsidR="00E37AB9" w:rsidRDefault="00E37AB9" w:rsidP="00F712D3">
      <w:pPr>
        <w:shd w:val="clear" w:color="auto" w:fill="FFFFFF"/>
        <w:ind w:left="5245" w:right="-30" w:firstLine="5"/>
        <w:jc w:val="both"/>
        <w:rPr>
          <w:b/>
          <w:spacing w:val="3"/>
          <w:lang w:val="uk-UA"/>
        </w:rPr>
      </w:pPr>
      <w:r>
        <w:rPr>
          <w:b/>
          <w:spacing w:val="3"/>
          <w:lang w:val="uk-UA"/>
        </w:rPr>
        <w:t>Затверджую:</w:t>
      </w:r>
    </w:p>
    <w:p w:rsidR="00E37AB9" w:rsidRDefault="00E37AB9" w:rsidP="00F712D3">
      <w:pPr>
        <w:shd w:val="clear" w:color="auto" w:fill="FFFFFF"/>
        <w:ind w:left="3545" w:right="-30" w:hanging="1"/>
        <w:jc w:val="both"/>
        <w:rPr>
          <w:bCs/>
          <w:strike/>
          <w:spacing w:val="3"/>
          <w:lang w:val="uk-UA"/>
        </w:rPr>
      </w:pPr>
      <w:r>
        <w:rPr>
          <w:lang w:val="uk-UA"/>
        </w:rPr>
        <w:t xml:space="preserve">            </w:t>
      </w:r>
    </w:p>
    <w:p w:rsidR="00E37AB9" w:rsidRPr="005B2D9F" w:rsidRDefault="00E37AB9" w:rsidP="00F712D3">
      <w:pPr>
        <w:ind w:left="320"/>
        <w:jc w:val="center"/>
        <w:rPr>
          <w:rFonts w:eastAsiaTheme="minorHAnsi"/>
          <w:lang w:val="uk-UA" w:eastAsia="en-US"/>
        </w:rPr>
      </w:pPr>
      <w:r>
        <w:rPr>
          <w:rFonts w:eastAsiaTheme="minorHAnsi"/>
          <w:lang w:val="uk-UA" w:eastAsia="en-US"/>
        </w:rPr>
        <w:t xml:space="preserve">                                                         </w:t>
      </w:r>
      <w:r w:rsidRPr="005B2D9F">
        <w:rPr>
          <w:rFonts w:eastAsiaTheme="minorHAnsi"/>
          <w:lang w:val="uk-UA" w:eastAsia="en-US"/>
        </w:rPr>
        <w:t xml:space="preserve">Протоколом № </w:t>
      </w:r>
      <w:r w:rsidR="001614DE">
        <w:rPr>
          <w:rFonts w:eastAsiaTheme="minorHAnsi"/>
          <w:lang w:val="uk-UA" w:eastAsia="en-US"/>
        </w:rPr>
        <w:t>50</w:t>
      </w:r>
      <w:r w:rsidRPr="005B2D9F">
        <w:rPr>
          <w:rFonts w:eastAsiaTheme="minorHAnsi"/>
          <w:lang w:val="uk-UA" w:eastAsia="en-US"/>
        </w:rPr>
        <w:t xml:space="preserve"> від </w:t>
      </w:r>
      <w:r w:rsidR="001614DE">
        <w:rPr>
          <w:rFonts w:eastAsiaTheme="minorHAnsi"/>
          <w:lang w:val="uk-UA" w:eastAsia="en-US"/>
        </w:rPr>
        <w:t>28</w:t>
      </w:r>
      <w:r>
        <w:rPr>
          <w:rFonts w:eastAsiaTheme="minorHAnsi"/>
          <w:lang w:val="uk-UA" w:eastAsia="en-US"/>
        </w:rPr>
        <w:t xml:space="preserve"> березня 2024</w:t>
      </w:r>
      <w:r w:rsidRPr="005B2D9F">
        <w:rPr>
          <w:rFonts w:eastAsiaTheme="minorHAnsi"/>
          <w:lang w:val="uk-UA" w:eastAsia="en-US"/>
        </w:rPr>
        <w:t xml:space="preserve"> року           </w:t>
      </w:r>
    </w:p>
    <w:p w:rsidR="00E37AB9" w:rsidRPr="005B2D9F" w:rsidRDefault="00E37AB9" w:rsidP="00F712D3">
      <w:pPr>
        <w:ind w:left="320"/>
        <w:jc w:val="center"/>
        <w:rPr>
          <w:rFonts w:eastAsiaTheme="minorHAnsi"/>
          <w:lang w:val="uk-UA" w:eastAsia="en-US"/>
        </w:rPr>
      </w:pPr>
      <w:r w:rsidRPr="005B2D9F">
        <w:rPr>
          <w:rFonts w:eastAsiaTheme="minorHAnsi"/>
          <w:lang w:val="uk-UA" w:eastAsia="en-US"/>
        </w:rPr>
        <w:t xml:space="preserve">                                                               </w:t>
      </w:r>
      <w:r>
        <w:rPr>
          <w:rFonts w:eastAsiaTheme="minorHAnsi"/>
          <w:lang w:val="uk-UA" w:eastAsia="en-US"/>
        </w:rPr>
        <w:t xml:space="preserve"> </w:t>
      </w:r>
      <w:r w:rsidRPr="005B2D9F">
        <w:rPr>
          <w:rFonts w:eastAsiaTheme="minorHAnsi"/>
          <w:lang w:val="uk-UA" w:eastAsia="en-US"/>
        </w:rPr>
        <w:t xml:space="preserve">  Уповноважена особа з організації та проведення                                                   </w:t>
      </w:r>
    </w:p>
    <w:p w:rsidR="00E37AB9" w:rsidRPr="005B2D9F" w:rsidRDefault="00E37AB9" w:rsidP="00F712D3">
      <w:pPr>
        <w:ind w:left="320"/>
        <w:jc w:val="center"/>
        <w:rPr>
          <w:rFonts w:eastAsiaTheme="minorHAnsi"/>
          <w:lang w:val="uk-UA" w:eastAsia="en-US"/>
        </w:rPr>
      </w:pPr>
      <w:r w:rsidRPr="005B2D9F">
        <w:rPr>
          <w:rFonts w:eastAsiaTheme="minorHAnsi"/>
          <w:lang w:val="uk-UA" w:eastAsia="en-US"/>
        </w:rPr>
        <w:tab/>
      </w:r>
      <w:r>
        <w:rPr>
          <w:rFonts w:eastAsiaTheme="minorHAnsi"/>
          <w:lang w:val="uk-UA" w:eastAsia="en-US"/>
        </w:rPr>
        <w:t xml:space="preserve">                                                    </w:t>
      </w:r>
      <w:r w:rsidRPr="005B2D9F">
        <w:rPr>
          <w:rFonts w:eastAsiaTheme="minorHAnsi"/>
          <w:lang w:val="uk-UA" w:eastAsia="en-US"/>
        </w:rPr>
        <w:t>публічних закупівель КНП «ЮМБЛ» ЮМР</w:t>
      </w:r>
    </w:p>
    <w:p w:rsidR="00E37AB9" w:rsidRPr="005B2D9F" w:rsidRDefault="00E37AB9" w:rsidP="00F712D3">
      <w:pPr>
        <w:ind w:left="320"/>
        <w:jc w:val="center"/>
        <w:rPr>
          <w:rFonts w:eastAsiaTheme="minorHAnsi"/>
          <w:lang w:val="uk-UA" w:eastAsia="en-US"/>
        </w:rPr>
      </w:pPr>
    </w:p>
    <w:p w:rsidR="00E37AB9" w:rsidRPr="005B2D9F" w:rsidRDefault="00E37AB9" w:rsidP="00F712D3">
      <w:pPr>
        <w:ind w:left="320"/>
        <w:jc w:val="center"/>
        <w:rPr>
          <w:rFonts w:eastAsiaTheme="minorHAnsi"/>
          <w:lang w:val="uk-UA" w:eastAsia="en-US"/>
        </w:rPr>
      </w:pPr>
      <w:r w:rsidRPr="005B2D9F">
        <w:rPr>
          <w:rFonts w:eastAsiaTheme="minorHAnsi"/>
          <w:lang w:val="uk-UA" w:eastAsia="en-US"/>
        </w:rPr>
        <w:t xml:space="preserve">                                       </w:t>
      </w:r>
      <w:r>
        <w:rPr>
          <w:rFonts w:eastAsiaTheme="minorHAnsi"/>
          <w:lang w:val="uk-UA" w:eastAsia="en-US"/>
        </w:rPr>
        <w:t xml:space="preserve">                                               </w:t>
      </w:r>
      <w:r w:rsidRPr="005B2D9F">
        <w:rPr>
          <w:rFonts w:eastAsiaTheme="minorHAnsi"/>
          <w:lang w:val="uk-UA" w:eastAsia="en-US"/>
        </w:rPr>
        <w:t xml:space="preserve"> ________________ М.С.</w:t>
      </w:r>
      <w:r>
        <w:rPr>
          <w:rFonts w:eastAsiaTheme="minorHAnsi"/>
          <w:lang w:val="uk-UA" w:eastAsia="en-US"/>
        </w:rPr>
        <w:t xml:space="preserve"> </w:t>
      </w:r>
      <w:r w:rsidRPr="005B2D9F">
        <w:rPr>
          <w:rFonts w:eastAsiaTheme="minorHAnsi"/>
          <w:lang w:val="uk-UA" w:eastAsia="en-US"/>
        </w:rPr>
        <w:t>Плохотнюк</w:t>
      </w:r>
    </w:p>
    <w:p w:rsidR="00E37AB9" w:rsidRPr="005B2D9F" w:rsidRDefault="00E37AB9" w:rsidP="00F712D3">
      <w:pPr>
        <w:ind w:left="320"/>
        <w:jc w:val="center"/>
        <w:rPr>
          <w:rFonts w:eastAsiaTheme="minorHAnsi"/>
          <w:lang w:val="uk-UA" w:eastAsia="en-US"/>
        </w:rPr>
      </w:pPr>
      <w:r w:rsidRPr="005B2D9F">
        <w:rPr>
          <w:rFonts w:eastAsiaTheme="minorHAnsi"/>
          <w:lang w:val="uk-UA" w:eastAsia="en-US"/>
        </w:rPr>
        <w:t xml:space="preserve">                                                                               </w:t>
      </w:r>
    </w:p>
    <w:p w:rsidR="00E37AB9" w:rsidRDefault="00E37AB9" w:rsidP="00F712D3">
      <w:pPr>
        <w:ind w:left="320"/>
        <w:jc w:val="center"/>
        <w:rPr>
          <w:b/>
          <w:bCs/>
          <w:lang w:val="uk-UA"/>
        </w:rPr>
      </w:pPr>
      <w:r w:rsidRPr="005B2D9F">
        <w:rPr>
          <w:rFonts w:eastAsiaTheme="minorHAnsi"/>
          <w:lang w:val="uk-UA" w:eastAsia="en-US"/>
        </w:rPr>
        <w:t xml:space="preserve">                                                                        «</w:t>
      </w:r>
      <w:r w:rsidR="001614DE">
        <w:rPr>
          <w:rFonts w:eastAsiaTheme="minorHAnsi"/>
          <w:lang w:val="uk-UA" w:eastAsia="en-US"/>
        </w:rPr>
        <w:t>28</w:t>
      </w:r>
      <w:r w:rsidRPr="005B2D9F">
        <w:rPr>
          <w:rFonts w:eastAsiaTheme="minorHAnsi"/>
          <w:lang w:val="uk-UA" w:eastAsia="en-US"/>
        </w:rPr>
        <w:t xml:space="preserve">» </w:t>
      </w:r>
      <w:r>
        <w:rPr>
          <w:rFonts w:eastAsiaTheme="minorHAnsi"/>
          <w:lang w:val="uk-UA" w:eastAsia="en-US"/>
        </w:rPr>
        <w:t>березня</w:t>
      </w:r>
      <w:r w:rsidRPr="005B2D9F">
        <w:rPr>
          <w:rFonts w:eastAsiaTheme="minorHAnsi"/>
          <w:lang w:val="uk-UA" w:eastAsia="en-US"/>
        </w:rPr>
        <w:t xml:space="preserve"> 202</w:t>
      </w:r>
      <w:r>
        <w:rPr>
          <w:rFonts w:eastAsiaTheme="minorHAnsi"/>
          <w:lang w:val="uk-UA" w:eastAsia="en-US"/>
        </w:rPr>
        <w:t>4</w:t>
      </w:r>
      <w:r w:rsidRPr="005B2D9F">
        <w:rPr>
          <w:rFonts w:eastAsiaTheme="minorHAnsi"/>
          <w:lang w:val="uk-UA" w:eastAsia="en-US"/>
        </w:rPr>
        <w:t xml:space="preserve"> року</w:t>
      </w:r>
    </w:p>
    <w:p w:rsidR="00E37AB9" w:rsidRDefault="00E37AB9" w:rsidP="00F712D3">
      <w:pPr>
        <w:ind w:left="320"/>
        <w:jc w:val="center"/>
        <w:rPr>
          <w:b/>
          <w:bCs/>
          <w:lang w:val="uk-UA"/>
        </w:rPr>
      </w:pPr>
    </w:p>
    <w:p w:rsidR="00E37AB9" w:rsidRDefault="00E37AB9" w:rsidP="00F712D3">
      <w:pPr>
        <w:ind w:left="320"/>
        <w:jc w:val="center"/>
        <w:rPr>
          <w:b/>
          <w:bCs/>
          <w:lang w:val="uk-UA"/>
        </w:rPr>
      </w:pPr>
    </w:p>
    <w:p w:rsidR="001614DE" w:rsidRDefault="001614DE" w:rsidP="00F712D3">
      <w:pPr>
        <w:ind w:left="320"/>
        <w:jc w:val="center"/>
        <w:rPr>
          <w:b/>
          <w:bCs/>
          <w:lang w:val="uk-UA"/>
        </w:rPr>
      </w:pPr>
    </w:p>
    <w:p w:rsidR="00E37AB9" w:rsidRDefault="00E37AB9" w:rsidP="00F712D3">
      <w:pPr>
        <w:ind w:left="320"/>
        <w:jc w:val="center"/>
        <w:rPr>
          <w:b/>
          <w:bCs/>
          <w:lang w:val="uk-UA"/>
        </w:rPr>
      </w:pPr>
    </w:p>
    <w:p w:rsidR="00E37AB9" w:rsidRPr="009843C0" w:rsidRDefault="00E37AB9" w:rsidP="00F712D3">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E37AB9" w:rsidRPr="009843C0" w:rsidRDefault="00E37AB9" w:rsidP="00F712D3">
      <w:pPr>
        <w:pStyle w:val="a4"/>
        <w:spacing w:after="0"/>
        <w:jc w:val="center"/>
        <w:rPr>
          <w:b/>
          <w:sz w:val="16"/>
          <w:szCs w:val="16"/>
          <w:lang w:val="uk-UA"/>
        </w:rPr>
      </w:pPr>
    </w:p>
    <w:p w:rsidR="00E37AB9" w:rsidRPr="009843C0" w:rsidRDefault="00E37AB9" w:rsidP="00F712D3">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E37AB9" w:rsidRDefault="00E37AB9" w:rsidP="00F712D3">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 З ОСОБЛИВОСТЯМИ»</w:t>
      </w:r>
    </w:p>
    <w:p w:rsidR="00E37AB9" w:rsidRDefault="00E37AB9" w:rsidP="00F712D3">
      <w:pPr>
        <w:pStyle w:val="1"/>
        <w:jc w:val="center"/>
        <w:rPr>
          <w:rFonts w:ascii="Times New Roman" w:hAnsi="Times New Roman" w:cs="Times New Roman"/>
          <w:b/>
          <w:color w:val="000000"/>
          <w:sz w:val="28"/>
          <w:szCs w:val="28"/>
          <w:lang w:val="uk-UA"/>
        </w:rPr>
      </w:pPr>
    </w:p>
    <w:p w:rsidR="00E37AB9" w:rsidRDefault="00E37AB9" w:rsidP="00F712D3">
      <w:pPr>
        <w:pStyle w:val="1"/>
        <w:jc w:val="center"/>
        <w:rPr>
          <w:rFonts w:ascii="Times New Roman" w:hAnsi="Times New Roman" w:cs="Times New Roman"/>
          <w:b/>
          <w:color w:val="000000"/>
          <w:sz w:val="28"/>
          <w:szCs w:val="28"/>
          <w:lang w:val="uk-UA"/>
        </w:rPr>
      </w:pPr>
    </w:p>
    <w:p w:rsidR="00E37AB9" w:rsidRDefault="00E37AB9" w:rsidP="00F712D3">
      <w:pPr>
        <w:pStyle w:val="1"/>
        <w:rPr>
          <w:rFonts w:ascii="Times New Roman" w:hAnsi="Times New Roman" w:cs="Times New Roman"/>
          <w:b/>
          <w:color w:val="000000"/>
          <w:sz w:val="16"/>
          <w:szCs w:val="16"/>
          <w:lang w:val="uk-UA"/>
        </w:rPr>
      </w:pPr>
    </w:p>
    <w:p w:rsidR="001614DE" w:rsidRPr="00C675AB" w:rsidRDefault="001614DE" w:rsidP="00F712D3">
      <w:pPr>
        <w:pStyle w:val="1"/>
        <w:rPr>
          <w:rFonts w:ascii="Times New Roman" w:hAnsi="Times New Roman" w:cs="Times New Roman"/>
          <w:b/>
          <w:color w:val="000000"/>
          <w:sz w:val="16"/>
          <w:szCs w:val="16"/>
          <w:lang w:val="uk-UA"/>
        </w:rPr>
      </w:pPr>
      <w:bookmarkStart w:id="0" w:name="_GoBack"/>
      <w:bookmarkEnd w:id="0"/>
    </w:p>
    <w:p w:rsidR="00E37AB9" w:rsidRPr="009843C0" w:rsidRDefault="00E37AB9" w:rsidP="00F712D3">
      <w:pPr>
        <w:pStyle w:val="1"/>
        <w:rPr>
          <w:rFonts w:ascii="Times New Roman" w:hAnsi="Times New Roman" w:cs="Times New Roman"/>
          <w:b/>
          <w:color w:val="000000"/>
          <w:sz w:val="16"/>
          <w:szCs w:val="16"/>
          <w:lang w:val="uk-UA"/>
        </w:rPr>
      </w:pPr>
    </w:p>
    <w:p w:rsidR="00E37AB9" w:rsidRDefault="001614DE" w:rsidP="00F712D3">
      <w:pPr>
        <w:jc w:val="center"/>
        <w:rPr>
          <w:b/>
          <w:sz w:val="40"/>
          <w:szCs w:val="40"/>
          <w:lang w:val="uk-UA"/>
        </w:rPr>
      </w:pPr>
      <w:r w:rsidRPr="001614DE">
        <w:rPr>
          <w:b/>
          <w:sz w:val="40"/>
          <w:szCs w:val="40"/>
          <w:lang w:val="uk-UA"/>
        </w:rPr>
        <w:t>Послуги з виготовлення  компонентів  з  донорської  крові</w:t>
      </w:r>
    </w:p>
    <w:p w:rsidR="00E37AB9" w:rsidRDefault="00E37AB9" w:rsidP="00F712D3">
      <w:pPr>
        <w:jc w:val="center"/>
        <w:rPr>
          <w:b/>
          <w:sz w:val="40"/>
          <w:szCs w:val="40"/>
          <w:lang w:val="uk-UA"/>
        </w:rPr>
      </w:pPr>
    </w:p>
    <w:p w:rsidR="001614DE" w:rsidRDefault="00E37AB9" w:rsidP="001614DE">
      <w:pPr>
        <w:jc w:val="center"/>
        <w:rPr>
          <w:b/>
          <w:iCs/>
          <w:color w:val="000000"/>
          <w:sz w:val="40"/>
          <w:szCs w:val="40"/>
          <w:lang w:val="uk-UA"/>
        </w:rPr>
      </w:pPr>
      <w:r w:rsidRPr="00B6777E">
        <w:rPr>
          <w:b/>
          <w:iCs/>
          <w:color w:val="000000"/>
          <w:sz w:val="40"/>
          <w:szCs w:val="40"/>
          <w:lang w:val="uk-UA"/>
        </w:rPr>
        <w:t xml:space="preserve">Код за ДК 021:2015: </w:t>
      </w:r>
      <w:r w:rsidR="001614DE" w:rsidRPr="001614DE">
        <w:rPr>
          <w:b/>
          <w:iCs/>
          <w:color w:val="000000"/>
          <w:sz w:val="40"/>
          <w:szCs w:val="40"/>
          <w:lang w:val="uk-UA"/>
        </w:rPr>
        <w:t xml:space="preserve">85140000-2 «Послуги  у  сфері  охорони  здоров’я  різні» </w:t>
      </w:r>
    </w:p>
    <w:p w:rsidR="00E37AB9" w:rsidRDefault="001614DE" w:rsidP="001614DE">
      <w:pPr>
        <w:jc w:val="center"/>
        <w:rPr>
          <w:b/>
          <w:bCs/>
          <w:color w:val="000000"/>
          <w:lang w:val="uk-UA"/>
        </w:rPr>
      </w:pPr>
      <w:r w:rsidRPr="001614DE">
        <w:rPr>
          <w:b/>
          <w:iCs/>
          <w:color w:val="000000"/>
          <w:sz w:val="40"/>
          <w:szCs w:val="40"/>
          <w:lang w:val="uk-UA"/>
        </w:rPr>
        <w:t>(ДК 021:2015: 85146000-4  «Послуги банків крові»)</w:t>
      </w: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1614DE" w:rsidRDefault="001614DE" w:rsidP="00F712D3">
      <w:pPr>
        <w:rPr>
          <w:b/>
          <w:bCs/>
          <w:color w:val="000000"/>
          <w:lang w:val="uk-UA"/>
        </w:rPr>
      </w:pPr>
    </w:p>
    <w:p w:rsidR="001614DE" w:rsidRDefault="001614DE" w:rsidP="00F712D3">
      <w:pPr>
        <w:rPr>
          <w:b/>
          <w:bCs/>
          <w:color w:val="000000"/>
          <w:lang w:val="uk-UA"/>
        </w:rPr>
      </w:pPr>
    </w:p>
    <w:p w:rsidR="001614DE" w:rsidRDefault="001614DE" w:rsidP="00F712D3">
      <w:pPr>
        <w:rPr>
          <w:b/>
          <w:bCs/>
          <w:color w:val="000000"/>
          <w:lang w:val="uk-UA"/>
        </w:rPr>
      </w:pPr>
    </w:p>
    <w:p w:rsidR="001614DE" w:rsidRDefault="001614DE" w:rsidP="00F712D3">
      <w:pPr>
        <w:rPr>
          <w:b/>
          <w:bCs/>
          <w:color w:val="000000"/>
          <w:lang w:val="uk-UA"/>
        </w:rPr>
      </w:pPr>
    </w:p>
    <w:p w:rsidR="001614DE" w:rsidRDefault="001614DE" w:rsidP="00F712D3">
      <w:pPr>
        <w:rPr>
          <w:b/>
          <w:bCs/>
          <w:color w:val="000000"/>
          <w:lang w:val="uk-UA"/>
        </w:rPr>
      </w:pPr>
    </w:p>
    <w:p w:rsidR="001614DE" w:rsidRDefault="001614DE" w:rsidP="00F712D3">
      <w:pPr>
        <w:rPr>
          <w:b/>
          <w:bCs/>
          <w:color w:val="000000"/>
          <w:lang w:val="uk-UA"/>
        </w:rPr>
      </w:pPr>
    </w:p>
    <w:p w:rsidR="00E37AB9" w:rsidRDefault="00E37AB9" w:rsidP="00F712D3">
      <w:pPr>
        <w:rPr>
          <w:b/>
          <w:bCs/>
          <w:color w:val="000000"/>
          <w:lang w:val="uk-UA"/>
        </w:rPr>
      </w:pPr>
    </w:p>
    <w:p w:rsidR="00E37AB9" w:rsidRDefault="001614DE" w:rsidP="00E37AB9">
      <w:pPr>
        <w:jc w:val="center"/>
        <w:rPr>
          <w:b/>
          <w:bCs/>
          <w:caps/>
          <w:color w:val="000000"/>
          <w:sz w:val="22"/>
          <w:szCs w:val="22"/>
          <w:lang w:val="uk-UA"/>
        </w:rPr>
      </w:pPr>
      <w:r>
        <w:rPr>
          <w:b/>
          <w:bCs/>
          <w:caps/>
          <w:color w:val="000000"/>
          <w:sz w:val="22"/>
          <w:szCs w:val="22"/>
          <w:lang w:val="uk-UA"/>
        </w:rPr>
        <w:t xml:space="preserve">м. </w:t>
      </w:r>
      <w:r w:rsidR="00E37AB9" w:rsidRPr="004F65C9">
        <w:rPr>
          <w:b/>
          <w:bCs/>
          <w:caps/>
          <w:color w:val="000000"/>
          <w:sz w:val="22"/>
          <w:szCs w:val="22"/>
          <w:lang w:val="uk-UA"/>
        </w:rPr>
        <w:t>Южноукраїнськ</w:t>
      </w:r>
      <w:r>
        <w:rPr>
          <w:b/>
          <w:bCs/>
          <w:caps/>
          <w:color w:val="000000"/>
          <w:sz w:val="22"/>
          <w:szCs w:val="22"/>
          <w:lang w:val="uk-UA"/>
        </w:rPr>
        <w:t>,</w:t>
      </w:r>
      <w:r w:rsidR="00E37AB9" w:rsidRPr="00B856D2">
        <w:rPr>
          <w:b/>
          <w:bCs/>
          <w:caps/>
          <w:color w:val="000000"/>
          <w:sz w:val="22"/>
          <w:szCs w:val="22"/>
          <w:lang w:val="uk-UA"/>
        </w:rPr>
        <w:t xml:space="preserve"> 20</w:t>
      </w:r>
      <w:r w:rsidR="00E37AB9" w:rsidRPr="004F65C9">
        <w:rPr>
          <w:b/>
          <w:bCs/>
          <w:caps/>
          <w:color w:val="000000"/>
          <w:sz w:val="22"/>
          <w:szCs w:val="22"/>
          <w:lang w:val="uk-UA"/>
        </w:rPr>
        <w:t>2</w:t>
      </w:r>
      <w:r w:rsidR="00E37AB9">
        <w:rPr>
          <w:b/>
          <w:bCs/>
          <w:caps/>
          <w:color w:val="000000"/>
          <w:sz w:val="22"/>
          <w:szCs w:val="22"/>
          <w:lang w:val="uk-UA"/>
        </w:rPr>
        <w:t>4 р.</w:t>
      </w:r>
    </w:p>
    <w:p w:rsidR="001614DE" w:rsidRDefault="001614DE" w:rsidP="00E37AB9">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6"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1614D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026F8D" w:rsidRPr="001A15B4" w:rsidRDefault="00026F8D" w:rsidP="00026F8D">
            <w:pPr>
              <w:spacing w:line="256" w:lineRule="auto"/>
              <w:rPr>
                <w:b/>
                <w:sz w:val="23"/>
                <w:szCs w:val="23"/>
                <w:lang w:val="uk-UA" w:eastAsia="en-US"/>
              </w:rPr>
            </w:pPr>
            <w:r w:rsidRPr="001A15B4">
              <w:rPr>
                <w:b/>
                <w:sz w:val="23"/>
                <w:szCs w:val="23"/>
                <w:lang w:val="uk-UA" w:eastAsia="en-US"/>
              </w:rPr>
              <w:t>Плохотнюк Марина Сергіївна</w:t>
            </w:r>
          </w:p>
          <w:p w:rsidR="00026F8D" w:rsidRPr="001A15B4" w:rsidRDefault="00026F8D" w:rsidP="00026F8D">
            <w:pPr>
              <w:spacing w:line="256" w:lineRule="auto"/>
              <w:rPr>
                <w:b/>
                <w:sz w:val="23"/>
                <w:szCs w:val="23"/>
                <w:lang w:val="uk-UA" w:eastAsia="en-US"/>
              </w:rPr>
            </w:pPr>
            <w:r w:rsidRPr="001A15B4">
              <w:rPr>
                <w:b/>
                <w:sz w:val="23"/>
                <w:szCs w:val="23"/>
                <w:lang w:val="uk-UA" w:eastAsia="en-US"/>
              </w:rPr>
              <w:t xml:space="preserve">Уповноважена особа з публічних закупівель відділу з правових питань та договірної роботи, </w:t>
            </w:r>
          </w:p>
          <w:p w:rsidR="00026F8D" w:rsidRPr="001A15B4" w:rsidRDefault="00026F8D" w:rsidP="00026F8D">
            <w:pPr>
              <w:spacing w:line="256" w:lineRule="auto"/>
              <w:rPr>
                <w:b/>
                <w:sz w:val="23"/>
                <w:szCs w:val="23"/>
                <w:lang w:val="uk-UA" w:eastAsia="en-US"/>
              </w:rPr>
            </w:pPr>
            <w:r w:rsidRPr="001A15B4">
              <w:rPr>
                <w:b/>
                <w:sz w:val="23"/>
                <w:szCs w:val="23"/>
                <w:lang w:val="uk-UA" w:eastAsia="en-US"/>
              </w:rPr>
              <w:t xml:space="preserve"> тел. (05136) 5-61-71, </w:t>
            </w:r>
          </w:p>
          <w:p w:rsidR="00DE1CC7" w:rsidRPr="00F56404" w:rsidRDefault="00026F8D" w:rsidP="00026F8D">
            <w:pPr>
              <w:pStyle w:val="a4"/>
              <w:spacing w:after="0" w:line="256" w:lineRule="auto"/>
              <w:jc w:val="both"/>
              <w:rPr>
                <w:sz w:val="23"/>
                <w:szCs w:val="23"/>
                <w:highlight w:val="yellow"/>
                <w:lang w:val="en-US" w:eastAsia="en-US"/>
              </w:rPr>
            </w:pPr>
            <w:r w:rsidRPr="001A15B4">
              <w:rPr>
                <w:b/>
                <w:sz w:val="23"/>
                <w:szCs w:val="23"/>
                <w:lang w:val="uk-UA" w:eastAsia="en-US"/>
              </w:rPr>
              <w:t>E-mail: knp-yumbl-zakupivli@ukr.net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E37AB9"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1614DE" w:rsidRPr="001614DE" w:rsidRDefault="001614DE" w:rsidP="001614DE">
            <w:pPr>
              <w:jc w:val="both"/>
              <w:rPr>
                <w:b/>
                <w:bCs/>
                <w:position w:val="-2"/>
                <w:lang w:val="uk-UA" w:eastAsia="zh-CN"/>
              </w:rPr>
            </w:pPr>
            <w:r w:rsidRPr="001614DE">
              <w:rPr>
                <w:b/>
                <w:bCs/>
                <w:position w:val="-2"/>
                <w:lang w:val="uk-UA" w:eastAsia="zh-CN"/>
              </w:rPr>
              <w:t>Послуги з виготовлення  компонентів  з  донорської  крові</w:t>
            </w:r>
          </w:p>
          <w:p w:rsidR="00DE1CC7" w:rsidRPr="0089139D" w:rsidRDefault="001614DE" w:rsidP="001614DE">
            <w:pPr>
              <w:jc w:val="both"/>
              <w:rPr>
                <w:b/>
                <w:bCs/>
                <w:position w:val="-2"/>
                <w:lang w:val="uk-UA" w:eastAsia="zh-CN"/>
              </w:rPr>
            </w:pPr>
            <w:r w:rsidRPr="001614DE">
              <w:rPr>
                <w:b/>
                <w:bCs/>
                <w:position w:val="-2"/>
                <w:lang w:val="uk-UA" w:eastAsia="zh-CN"/>
              </w:rPr>
              <w:t>Код за ДК 021:2015: 85140000-2 «Послуги  у  сфері  охорони  здоров’я  різні» (ДК 021:2015: 85146000-4  «Послуги банків крові»)</w:t>
            </w:r>
          </w:p>
        </w:tc>
      </w:tr>
      <w:tr w:rsidR="00DE1CC7" w:rsidRPr="00E37AB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1614DE" w:rsidRPr="001614DE" w:rsidRDefault="001614DE" w:rsidP="001614DE">
            <w:pPr>
              <w:rPr>
                <w:lang w:val="uk-UA" w:eastAsia="zh-CN"/>
              </w:rPr>
            </w:pPr>
            <w:r w:rsidRPr="001614DE">
              <w:rPr>
                <w:lang w:val="uk-UA" w:eastAsia="zh-CN"/>
              </w:rPr>
              <w:t>Послуги з виготовлення  компонентів  з  донорської  крові</w:t>
            </w:r>
          </w:p>
          <w:p w:rsidR="00DE1CC7" w:rsidRPr="0052034C" w:rsidRDefault="001614DE" w:rsidP="001614DE">
            <w:pPr>
              <w:jc w:val="both"/>
              <w:rPr>
                <w:b/>
                <w:bCs/>
                <w:position w:val="-2"/>
                <w:lang w:val="uk-UA" w:eastAsia="zh-CN"/>
              </w:rPr>
            </w:pPr>
            <w:r w:rsidRPr="001614DE">
              <w:rPr>
                <w:lang w:val="uk-UA" w:eastAsia="zh-CN"/>
              </w:rPr>
              <w:t>Код за ДК 021:2015: 85140000-2 «Послуги  у  сфері  охорони  здоров’я  різні» (ДК 021:2015: 85146000-4  «Послуги банків крові»)</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026F8D" w:rsidP="009F655B">
            <w:pPr>
              <w:jc w:val="both"/>
              <w:rPr>
                <w:bCs/>
                <w:lang w:val="uk-UA"/>
              </w:rPr>
            </w:pPr>
            <w:r>
              <w:rPr>
                <w:bCs/>
                <w:lang w:val="uk-UA"/>
              </w:rPr>
              <w:t>Без розподілу по лотам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Default="00FF7D15" w:rsidP="00FF7D15">
            <w:pPr>
              <w:pStyle w:val="Standard"/>
              <w:jc w:val="both"/>
              <w:rPr>
                <w:lang w:val="uk-UA"/>
              </w:rPr>
            </w:pPr>
            <w:r w:rsidRPr="00FF7D15">
              <w:rPr>
                <w:lang w:val="uk-UA"/>
              </w:rPr>
              <w:t xml:space="preserve">За адресою </w:t>
            </w:r>
            <w:r w:rsidR="001614DE">
              <w:rPr>
                <w:lang w:val="uk-UA"/>
              </w:rPr>
              <w:t>Виконавця</w:t>
            </w:r>
          </w:p>
          <w:p w:rsidR="001614DE" w:rsidRPr="00FF7D15" w:rsidRDefault="001614DE" w:rsidP="00FF7D15">
            <w:pPr>
              <w:pStyle w:val="Standard"/>
              <w:jc w:val="both"/>
              <w:rPr>
                <w:lang w:val="uk-UA"/>
              </w:rPr>
            </w:pPr>
          </w:p>
          <w:p w:rsidR="00DE1CC7" w:rsidRDefault="00FF7D15" w:rsidP="00026F8D">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026F8D">
              <w:rPr>
                <w:lang w:val="uk-UA"/>
              </w:rPr>
              <w:t>послуг</w:t>
            </w:r>
            <w:r w:rsidR="00E37AB9">
              <w:rPr>
                <w:lang w:val="uk-UA"/>
              </w:rPr>
              <w:t xml:space="preserve"> наведена в Д</w:t>
            </w:r>
            <w:r w:rsidRPr="00FF7D15">
              <w:rPr>
                <w:lang w:val="uk-UA"/>
              </w:rPr>
              <w:t xml:space="preserve">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026F8D" w:rsidP="001614DE">
            <w:pPr>
              <w:pStyle w:val="a4"/>
              <w:spacing w:after="0" w:line="256" w:lineRule="auto"/>
              <w:ind w:left="-2" w:hanging="2"/>
              <w:jc w:val="both"/>
              <w:rPr>
                <w:b/>
                <w:sz w:val="23"/>
                <w:szCs w:val="23"/>
                <w:highlight w:val="yellow"/>
                <w:lang w:val="uk-UA" w:eastAsia="en-US"/>
              </w:rPr>
            </w:pPr>
            <w:r w:rsidRPr="00026F8D">
              <w:rPr>
                <w:lang w:val="uk-UA"/>
              </w:rPr>
              <w:t xml:space="preserve">З моменту укладання договору до </w:t>
            </w:r>
            <w:r w:rsidR="001614DE">
              <w:rPr>
                <w:lang w:val="uk-UA"/>
              </w:rPr>
              <w:t>31</w:t>
            </w:r>
            <w:r w:rsidR="00CC50D8" w:rsidRPr="00330223">
              <w:rPr>
                <w:lang w:val="uk-UA"/>
              </w:rPr>
              <w:t>.</w:t>
            </w:r>
            <w:r w:rsidR="00E37AB9">
              <w:rPr>
                <w:lang w:val="uk-UA"/>
              </w:rPr>
              <w:t>12</w:t>
            </w:r>
            <w:r w:rsidR="00CC50D8" w:rsidRPr="00330223">
              <w:rPr>
                <w:lang w:val="uk-UA"/>
              </w:rPr>
              <w:t>.202</w:t>
            </w:r>
            <w:r w:rsidR="004F46EC">
              <w:rPr>
                <w:lang w:val="uk-UA"/>
              </w:rPr>
              <w:t>4</w:t>
            </w:r>
            <w:r w:rsidR="00FF7D15">
              <w:rPr>
                <w:lang w:val="uk-UA"/>
              </w:rPr>
              <w:t xml:space="preserve"> </w:t>
            </w:r>
            <w:r w:rsidR="00CC50D8"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w:t>
            </w:r>
            <w:proofErr w:type="gramStart"/>
            <w:r>
              <w:rPr>
                <w:color w:val="000000"/>
                <w:sz w:val="23"/>
                <w:szCs w:val="23"/>
                <w:lang w:eastAsia="en-US"/>
              </w:rPr>
              <w:t>у процедурах</w:t>
            </w:r>
            <w:proofErr w:type="gramEnd"/>
            <w:r>
              <w:rPr>
                <w:color w:val="000000"/>
                <w:sz w:val="23"/>
                <w:szCs w:val="23"/>
                <w:lang w:eastAsia="en-US"/>
              </w:rPr>
              <w:t xml:space="preserve"> закупівель на рівних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у якій повинно бути </w:t>
            </w:r>
            <w:r>
              <w:rPr>
                <w:b/>
                <w:bCs/>
                <w:color w:val="000000"/>
                <w:sz w:val="23"/>
                <w:szCs w:val="23"/>
                <w:lang w:eastAsia="en-US"/>
              </w:rPr>
              <w:lastRenderedPageBreak/>
              <w:t>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lastRenderedPageBreak/>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1614D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F41C85" w:rsidRPr="00F41C85">
              <w:rPr>
                <w:color w:val="000000"/>
                <w:sz w:val="23"/>
                <w:szCs w:val="23"/>
                <w:lang w:val="uk-UA" w:eastAsia="en-US"/>
              </w:rPr>
              <w:lastRenderedPageBreak/>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Розділ ІІІ. Інструкція з підготовки тендерної пропозиції</w:t>
            </w:r>
          </w:p>
        </w:tc>
      </w:tr>
      <w:tr w:rsidR="00DE1CC7" w:rsidRPr="001614D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xml:space="preserve">.», </w:t>
            </w:r>
            <w:proofErr w:type="gramStart"/>
            <w:r w:rsidR="00DE1CC7">
              <w:rPr>
                <w:color w:val="000000"/>
                <w:sz w:val="23"/>
                <w:szCs w:val="23"/>
                <w:lang w:val="uk-UA" w:eastAsia="en-US"/>
              </w:rPr>
              <w:t>«..</w:t>
            </w:r>
            <w:proofErr w:type="gramEnd"/>
            <w:r w:rsidR="00DE1CC7">
              <w:rPr>
                <w:color w:val="000000"/>
                <w:sz w:val="23"/>
                <w:szCs w:val="23"/>
                <w:lang w:eastAsia="en-US"/>
              </w:rPr>
              <w:t>jpeg</w:t>
            </w:r>
            <w:r w:rsidR="00DE1CC7">
              <w:rPr>
                <w:color w:val="000000"/>
                <w:sz w:val="23"/>
                <w:szCs w:val="23"/>
                <w:lang w:val="uk-UA" w:eastAsia="en-US"/>
              </w:rPr>
              <w:t xml:space="preserve">.», тощо), зміст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color w:val="000000"/>
                <w:sz w:val="23"/>
                <w:szCs w:val="23"/>
                <w:lang w:val="uk-UA" w:eastAsia="en-US"/>
              </w:rPr>
              <w:lastRenderedPageBreak/>
              <w:t>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w:t>
            </w:r>
            <w:r w:rsidR="00127A9A">
              <w:rPr>
                <w:color w:val="000000"/>
                <w:sz w:val="23"/>
                <w:szCs w:val="23"/>
                <w:lang w:val="uk-UA" w:eastAsia="en-US"/>
              </w:rPr>
              <w:lastRenderedPageBreak/>
              <w:t>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1614D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який у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закупівлі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1614D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підстави,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E37AB9"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E37AB9">
              <w:rPr>
                <w:b/>
                <w:color w:val="000000"/>
                <w:sz w:val="23"/>
                <w:szCs w:val="23"/>
                <w:lang w:val="uk-UA" w:eastAsia="en-US"/>
              </w:rPr>
              <w:t xml:space="preserve"> </w:t>
            </w:r>
            <w:r w:rsidR="00CC2F16" w:rsidRPr="00A60962">
              <w:rPr>
                <w:b/>
                <w:color w:val="000000"/>
                <w:sz w:val="23"/>
                <w:szCs w:val="23"/>
                <w:lang w:val="uk-UA" w:eastAsia="en-US"/>
              </w:rPr>
              <w:t>2</w:t>
            </w:r>
            <w:r w:rsidR="00E37AB9">
              <w:rPr>
                <w:b/>
                <w:color w:val="000000"/>
                <w:sz w:val="23"/>
                <w:szCs w:val="23"/>
                <w:lang w:val="uk-UA" w:eastAsia="en-US"/>
              </w:rPr>
              <w:t xml:space="preserve"> до тендерної документації</w:t>
            </w:r>
            <w:r w:rsidR="00CC2F16" w:rsidRPr="00A60962">
              <w:rPr>
                <w:b/>
                <w:color w:val="000000"/>
                <w:sz w:val="23"/>
                <w:szCs w:val="23"/>
                <w:lang w:val="uk-UA" w:eastAsia="en-US"/>
              </w:rPr>
              <w:t>)</w:t>
            </w:r>
            <w:r w:rsidR="00CC2F16" w:rsidRPr="00CC2F16">
              <w:rPr>
                <w:color w:val="000000"/>
                <w:sz w:val="23"/>
                <w:szCs w:val="23"/>
                <w:lang w:val="uk-UA" w:eastAsia="en-US"/>
              </w:rPr>
              <w:t>.</w:t>
            </w:r>
          </w:p>
          <w:p w:rsidR="00B726EE" w:rsidRPr="00B726EE" w:rsidRDefault="00A840CD" w:rsidP="00B726EE">
            <w:pPr>
              <w:pStyle w:val="a4"/>
              <w:shd w:val="clear" w:color="auto" w:fill="FFFFFF"/>
              <w:spacing w:line="256" w:lineRule="auto"/>
              <w:jc w:val="both"/>
              <w:rPr>
                <w:color w:val="000000"/>
                <w:sz w:val="23"/>
                <w:szCs w:val="23"/>
                <w:lang w:val="uk-UA" w:eastAsia="en-US"/>
              </w:rPr>
            </w:pPr>
            <w:r w:rsidRPr="00E80AE5">
              <w:rPr>
                <w:color w:val="000000"/>
                <w:sz w:val="23"/>
                <w:szCs w:val="23"/>
                <w:lang w:val="uk-UA" w:eastAsia="en-US"/>
              </w:rPr>
              <w:t xml:space="preserve">   </w:t>
            </w:r>
            <w:r w:rsidR="00013540"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lastRenderedPageBreak/>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1614DE">
        <w:trPr>
          <w:trHeight w:val="557"/>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Pr>
                <w:b/>
                <w:bCs/>
                <w:color w:val="000000"/>
                <w:sz w:val="23"/>
                <w:szCs w:val="23"/>
                <w:lang w:eastAsia="en-US"/>
              </w:rPr>
              <w:lastRenderedPageBreak/>
              <w:t>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lastRenderedPageBreak/>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r w:rsidR="00026F8D">
              <w:rPr>
                <w:b/>
                <w:color w:val="000000"/>
                <w:sz w:val="23"/>
                <w:szCs w:val="23"/>
                <w:lang w:val="uk-UA" w:eastAsia="en-US"/>
              </w:rPr>
              <w:t xml:space="preserve"> до тендерної документації</w:t>
            </w:r>
            <w:r w:rsidRPr="00C06EA1">
              <w:rPr>
                <w:b/>
                <w:color w:val="000000"/>
                <w:sz w:val="23"/>
                <w:szCs w:val="23"/>
                <w:lang w:val="uk-UA" w:eastAsia="en-US"/>
              </w:rPr>
              <w:t>)</w:t>
            </w:r>
            <w:r w:rsidR="00026F8D">
              <w:rPr>
                <w:b/>
                <w:color w:val="000000"/>
                <w:sz w:val="23"/>
                <w:szCs w:val="23"/>
                <w:lang w:val="uk-UA" w:eastAsia="en-US"/>
              </w:rPr>
              <w:t>.</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sidR="00026F8D">
              <w:rPr>
                <w:b/>
                <w:color w:val="000000"/>
                <w:sz w:val="23"/>
                <w:szCs w:val="23"/>
                <w:lang w:val="uk-UA" w:eastAsia="en-US"/>
              </w:rPr>
              <w:t xml:space="preserve"> до тендерної документації</w:t>
            </w:r>
            <w:r>
              <w:rPr>
                <w:b/>
                <w:color w:val="000000"/>
                <w:sz w:val="23"/>
                <w:szCs w:val="23"/>
                <w:lang w:val="uk-UA" w:eastAsia="en-US"/>
              </w:rPr>
              <w:t xml:space="preserve">. </w:t>
            </w:r>
          </w:p>
        </w:tc>
      </w:tr>
      <w:tr w:rsidR="00DE1CC7" w:rsidTr="001614DE">
        <w:trPr>
          <w:trHeight w:val="1395"/>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1614DE">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пропозицій</w:t>
            </w:r>
            <w:r w:rsidRPr="00026F8D">
              <w:rPr>
                <w:b/>
                <w:color w:val="FF0000"/>
                <w:sz w:val="23"/>
                <w:szCs w:val="23"/>
                <w:lang w:eastAsia="en-US"/>
              </w:rPr>
              <w:t xml:space="preserve"> </w:t>
            </w:r>
            <w:r w:rsidR="001614DE">
              <w:rPr>
                <w:b/>
                <w:color w:val="FF0000"/>
                <w:sz w:val="23"/>
                <w:szCs w:val="23"/>
                <w:lang w:val="uk-UA" w:eastAsia="en-US"/>
              </w:rPr>
              <w:t>05</w:t>
            </w:r>
            <w:r w:rsidRPr="00026F8D">
              <w:rPr>
                <w:b/>
                <w:color w:val="FF0000"/>
                <w:sz w:val="23"/>
                <w:szCs w:val="23"/>
                <w:lang w:val="uk-UA" w:eastAsia="en-US"/>
              </w:rPr>
              <w:t>.</w:t>
            </w:r>
            <w:r w:rsidR="00831025" w:rsidRPr="00026F8D">
              <w:rPr>
                <w:b/>
                <w:color w:val="FF0000"/>
                <w:sz w:val="23"/>
                <w:szCs w:val="23"/>
                <w:lang w:val="uk-UA" w:eastAsia="en-US"/>
              </w:rPr>
              <w:t>0</w:t>
            </w:r>
            <w:r w:rsidR="001614DE">
              <w:rPr>
                <w:b/>
                <w:color w:val="FF0000"/>
                <w:sz w:val="23"/>
                <w:szCs w:val="23"/>
                <w:lang w:val="uk-UA" w:eastAsia="en-US"/>
              </w:rPr>
              <w:t>4</w:t>
            </w:r>
            <w:r w:rsidRPr="00026F8D">
              <w:rPr>
                <w:b/>
                <w:color w:val="FF0000"/>
                <w:sz w:val="23"/>
                <w:szCs w:val="23"/>
                <w:lang w:val="uk-UA" w:eastAsia="en-US"/>
              </w:rPr>
              <w:t>.202</w:t>
            </w:r>
            <w:r w:rsidR="004F46EC" w:rsidRPr="00026F8D">
              <w:rPr>
                <w:b/>
                <w:color w:val="FF0000"/>
                <w:sz w:val="23"/>
                <w:szCs w:val="23"/>
                <w:lang w:val="uk-UA" w:eastAsia="en-US"/>
              </w:rPr>
              <w:t>4</w:t>
            </w:r>
            <w:r w:rsidR="00026F8D">
              <w:rPr>
                <w:b/>
                <w:color w:val="FF0000"/>
                <w:sz w:val="23"/>
                <w:szCs w:val="23"/>
                <w:lang w:val="uk-UA" w:eastAsia="en-US"/>
              </w:rPr>
              <w:t xml:space="preserve"> </w:t>
            </w:r>
            <w:r w:rsidRPr="00026F8D">
              <w:rPr>
                <w:b/>
                <w:color w:val="FF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C159A8">
              <w:rPr>
                <w:b/>
                <w:sz w:val="23"/>
                <w:szCs w:val="23"/>
                <w:lang w:eastAsia="en-US"/>
              </w:rPr>
              <w:t>Розмір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C159A8">
              <w:rPr>
                <w:color w:val="000000"/>
                <w:sz w:val="23"/>
                <w:szCs w:val="23"/>
                <w:lang w:eastAsia="en-US"/>
              </w:rPr>
              <w:lastRenderedPageBreak/>
              <w:t>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а обґрунтованим рішенням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1614D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lastRenderedPageBreak/>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r w:rsidR="00555C82" w:rsidRPr="00B049FD">
              <w:rPr>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555C82" w:rsidRPr="00B049FD">
              <w:rPr>
                <w:sz w:val="22"/>
                <w:szCs w:val="22"/>
              </w:rPr>
              <w:t>у списку</w:t>
            </w:r>
            <w:proofErr w:type="gramEnd"/>
            <w:r w:rsidR="00555C82" w:rsidRPr="00B049FD">
              <w:rPr>
                <w:sz w:val="22"/>
                <w:szCs w:val="22"/>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торгівлі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F189A">
              <w:rPr>
                <w:color w:val="000000"/>
                <w:sz w:val="23"/>
                <w:szCs w:val="23"/>
                <w:lang w:eastAsia="en-US"/>
              </w:rPr>
              <w:lastRenderedPageBreak/>
              <w:t>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 xml:space="preserve">11. Подання документа (документів) учасником процедури закупівлі у </w:t>
            </w:r>
            <w:r w:rsidRPr="003F189A">
              <w:rPr>
                <w:color w:val="000000"/>
                <w:sz w:val="23"/>
                <w:szCs w:val="23"/>
                <w:lang w:eastAsia="en-US"/>
              </w:rPr>
              <w:lastRenderedPageBreak/>
              <w:t>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r w:rsidR="001E414E" w:rsidRPr="0089139D">
              <w:rPr>
                <w:sz w:val="23"/>
                <w:szCs w:val="23"/>
                <w:lang w:eastAsia="en-US"/>
              </w:rPr>
              <w:t>П</w:t>
            </w:r>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026F8D"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73AA7">
              <w:rPr>
                <w:sz w:val="23"/>
                <w:szCs w:val="23"/>
                <w:lang w:eastAsia="en-US"/>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 xml:space="preserve">Замовник не може розміщувати щодо одного і того ж учасника процедури закупівлі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Замовник відхиляє тендерну пропозицію із зазначенням аргументації в електронній системі закупівель у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закупівлі:</w:t>
            </w:r>
          </w:p>
          <w:p w:rsidR="005D3670" w:rsidRPr="005D3670" w:rsidRDefault="005D3670" w:rsidP="005D3670">
            <w:pPr>
              <w:shd w:val="clear" w:color="auto" w:fill="FFFFFF"/>
              <w:spacing w:after="150"/>
              <w:ind w:firstLine="450"/>
              <w:jc w:val="both"/>
            </w:pPr>
            <w:r w:rsidRPr="005D3670">
              <w:rPr>
                <w:sz w:val="22"/>
                <w:szCs w:val="22"/>
              </w:rPr>
              <w:t>підпадає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9F655B">
              <w:rPr>
                <w:sz w:val="22"/>
                <w:szCs w:val="22"/>
              </w:rP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8F2452" w:rsidRDefault="00820BAC" w:rsidP="00820BAC">
            <w:pPr>
              <w:shd w:val="clear" w:color="auto" w:fill="FFFFFF"/>
              <w:spacing w:after="150"/>
              <w:jc w:val="both"/>
              <w:rPr>
                <w:lang w:val="uk-UA"/>
              </w:rPr>
            </w:pPr>
            <w:r w:rsidRPr="008F2452">
              <w:rPr>
                <w:sz w:val="22"/>
                <w:szCs w:val="22"/>
                <w:lang w:val="uk-UA"/>
              </w:rPr>
              <w:t>2) тендерна пропозиція:</w:t>
            </w:r>
          </w:p>
          <w:p w:rsidR="005D3670" w:rsidRPr="008F2452" w:rsidRDefault="005D3670" w:rsidP="00820BAC">
            <w:pPr>
              <w:shd w:val="clear" w:color="auto" w:fill="FFFFFF"/>
              <w:spacing w:after="150"/>
              <w:ind w:firstLine="450"/>
              <w:jc w:val="both"/>
              <w:rPr>
                <w:lang w:val="uk-UA"/>
              </w:rPr>
            </w:pPr>
            <w:r w:rsidRPr="008F2452">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8F2452">
              <w:rPr>
                <w:sz w:val="22"/>
                <w:szCs w:val="22"/>
                <w:lang w:val="uk-UA"/>
              </w:rPr>
              <w:t>;</w:t>
            </w:r>
          </w:p>
          <w:p w:rsidR="005D3670" w:rsidRPr="008F2452" w:rsidRDefault="005D3670" w:rsidP="00820BAC">
            <w:pPr>
              <w:shd w:val="clear" w:color="auto" w:fill="FFFFFF"/>
              <w:spacing w:after="150"/>
              <w:ind w:firstLine="450"/>
              <w:jc w:val="both"/>
              <w:rPr>
                <w:lang w:val="uk-UA"/>
              </w:rPr>
            </w:pPr>
            <w:r w:rsidRPr="008F2452">
              <w:rPr>
                <w:sz w:val="22"/>
                <w:szCs w:val="22"/>
                <w:lang w:val="uk-UA"/>
              </w:rPr>
              <w:t>є такою, строк дії якої закінчився</w:t>
            </w:r>
            <w:r w:rsidR="00820BAC" w:rsidRPr="008F2452">
              <w:rPr>
                <w:sz w:val="22"/>
                <w:szCs w:val="22"/>
                <w:lang w:val="uk-UA"/>
              </w:rPr>
              <w:t>;</w:t>
            </w:r>
          </w:p>
          <w:p w:rsidR="005D3670" w:rsidRPr="008F2452" w:rsidRDefault="005D3670" w:rsidP="00820BAC">
            <w:pPr>
              <w:shd w:val="clear" w:color="auto" w:fill="FFFFFF"/>
              <w:spacing w:after="150"/>
              <w:ind w:firstLine="450"/>
              <w:jc w:val="both"/>
              <w:rPr>
                <w:lang w:val="uk-UA"/>
              </w:rPr>
            </w:pPr>
            <w:r w:rsidRPr="008F245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820BAC" w:rsidRPr="008F2452">
              <w:rPr>
                <w:sz w:val="22"/>
                <w:szCs w:val="22"/>
                <w:lang w:val="uk-UA"/>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 абзацу</w:t>
            </w:r>
            <w:proofErr w:type="gramEnd"/>
            <w:r w:rsidRPr="005D3670">
              <w:rPr>
                <w:sz w:val="22"/>
                <w:szCs w:val="22"/>
              </w:rPr>
              <w:t xml:space="preserve">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закупівлі:</w:t>
            </w:r>
          </w:p>
          <w:p w:rsidR="005D3670" w:rsidRPr="00820BAC" w:rsidRDefault="005D3670" w:rsidP="00820BAC">
            <w:pPr>
              <w:shd w:val="clear" w:color="auto" w:fill="FFFFFF"/>
              <w:spacing w:after="150"/>
              <w:ind w:firstLine="450"/>
              <w:jc w:val="both"/>
            </w:pPr>
            <w:r w:rsidRPr="005D3670">
              <w:rPr>
                <w:sz w:val="22"/>
                <w:szCs w:val="22"/>
              </w:rPr>
              <w:t>відмовився від підписання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не надав забезпечення виконання договору про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у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закупівлі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закупівлі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r w:rsidR="005D3670" w:rsidRPr="005D3670">
              <w:rPr>
                <w:sz w:val="22"/>
                <w:szCs w:val="22"/>
              </w:rPr>
              <w:t>підстави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lastRenderedPageBreak/>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Розділ VI. Результати тендеру та укладання договору про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 xml:space="preserve">З метою забезпечення права на оскарження рішень замовника </w:t>
            </w:r>
            <w:proofErr w:type="gramStart"/>
            <w:r w:rsidR="004B5E93" w:rsidRPr="0089139D">
              <w:rPr>
                <w:sz w:val="23"/>
                <w:szCs w:val="23"/>
                <w:lang w:eastAsia="en-US"/>
              </w:rPr>
              <w:t>до органу</w:t>
            </w:r>
            <w:proofErr w:type="gramEnd"/>
            <w:r w:rsidR="004B5E93" w:rsidRPr="0089139D">
              <w:rPr>
                <w:sz w:val="23"/>
                <w:szCs w:val="23"/>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після оприлюднення в електронній системі закупівель повідомлення про намір укласти </w:t>
            </w:r>
            <w:proofErr w:type="gramStart"/>
            <w:r w:rsidR="004B5E93" w:rsidRPr="0089139D">
              <w:rPr>
                <w:sz w:val="23"/>
                <w:szCs w:val="23"/>
                <w:lang w:eastAsia="en-US"/>
              </w:rPr>
              <w:t>договір,  висилає</w:t>
            </w:r>
            <w:proofErr w:type="gramEnd"/>
            <w:r w:rsidR="004B5E93" w:rsidRPr="0089139D">
              <w:rPr>
                <w:sz w:val="23"/>
                <w:szCs w:val="23"/>
                <w:lang w:eastAsia="en-US"/>
              </w:rPr>
              <w:t xml:space="preserve">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 xml:space="preserve">Договір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sidRPr="00B36556">
              <w:rPr>
                <w:sz w:val="23"/>
                <w:szCs w:val="23"/>
                <w:lang w:val="uk-UA" w:eastAsia="en-US"/>
              </w:rPr>
              <w:lastRenderedPageBreak/>
              <w:t>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026F8D">
            <w:pPr>
              <w:pStyle w:val="a4"/>
              <w:spacing w:after="0" w:line="256" w:lineRule="auto"/>
              <w:jc w:val="both"/>
              <w:rPr>
                <w:sz w:val="23"/>
                <w:szCs w:val="23"/>
                <w:lang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Забезпечення виконання договору про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7B2818">
      <w:pPr>
        <w:rPr>
          <w:b/>
          <w:bCs/>
          <w:caps/>
          <w:lang w:val="uk-UA"/>
        </w:rPr>
      </w:pPr>
    </w:p>
    <w:sectPr w:rsidR="004F65C9" w:rsidRPr="0089139D" w:rsidSect="007B281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1"/>
    <w:rsid w:val="00013540"/>
    <w:rsid w:val="00026F8D"/>
    <w:rsid w:val="00037E56"/>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614DE"/>
    <w:rsid w:val="001C6FFA"/>
    <w:rsid w:val="001D0C20"/>
    <w:rsid w:val="001D3D34"/>
    <w:rsid w:val="001D6C71"/>
    <w:rsid w:val="001E414E"/>
    <w:rsid w:val="001E570C"/>
    <w:rsid w:val="001F061A"/>
    <w:rsid w:val="001F1731"/>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E10FF"/>
    <w:rsid w:val="003E5154"/>
    <w:rsid w:val="003E6CFD"/>
    <w:rsid w:val="003F189A"/>
    <w:rsid w:val="003F6C5F"/>
    <w:rsid w:val="00424E59"/>
    <w:rsid w:val="004263F7"/>
    <w:rsid w:val="00433D98"/>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024D"/>
    <w:rsid w:val="00611F73"/>
    <w:rsid w:val="006121FA"/>
    <w:rsid w:val="00625991"/>
    <w:rsid w:val="0062664A"/>
    <w:rsid w:val="00633AD8"/>
    <w:rsid w:val="006345E6"/>
    <w:rsid w:val="0065117A"/>
    <w:rsid w:val="0067282E"/>
    <w:rsid w:val="006A0DFA"/>
    <w:rsid w:val="006A259C"/>
    <w:rsid w:val="006B2400"/>
    <w:rsid w:val="006C1C9B"/>
    <w:rsid w:val="006C22A6"/>
    <w:rsid w:val="006E05FE"/>
    <w:rsid w:val="006E6817"/>
    <w:rsid w:val="006E71CE"/>
    <w:rsid w:val="006F13E3"/>
    <w:rsid w:val="006F4889"/>
    <w:rsid w:val="006F6F5E"/>
    <w:rsid w:val="00706809"/>
    <w:rsid w:val="00714778"/>
    <w:rsid w:val="00727DF1"/>
    <w:rsid w:val="0073128A"/>
    <w:rsid w:val="00732CDE"/>
    <w:rsid w:val="00732F40"/>
    <w:rsid w:val="00742C17"/>
    <w:rsid w:val="00746C8E"/>
    <w:rsid w:val="00750695"/>
    <w:rsid w:val="00754344"/>
    <w:rsid w:val="00756F43"/>
    <w:rsid w:val="007618AB"/>
    <w:rsid w:val="007977B4"/>
    <w:rsid w:val="007B2818"/>
    <w:rsid w:val="007C5690"/>
    <w:rsid w:val="00815AF4"/>
    <w:rsid w:val="00820BAC"/>
    <w:rsid w:val="0082262C"/>
    <w:rsid w:val="00831025"/>
    <w:rsid w:val="00841903"/>
    <w:rsid w:val="00856001"/>
    <w:rsid w:val="008640C8"/>
    <w:rsid w:val="00876217"/>
    <w:rsid w:val="008909FE"/>
    <w:rsid w:val="0089139D"/>
    <w:rsid w:val="00891802"/>
    <w:rsid w:val="008B0283"/>
    <w:rsid w:val="008C4C0F"/>
    <w:rsid w:val="008F2452"/>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286"/>
    <w:rsid w:val="009A3931"/>
    <w:rsid w:val="009A6AEA"/>
    <w:rsid w:val="009A7833"/>
    <w:rsid w:val="009B28E8"/>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B0005A"/>
    <w:rsid w:val="00B049FD"/>
    <w:rsid w:val="00B1155A"/>
    <w:rsid w:val="00B32436"/>
    <w:rsid w:val="00B325EA"/>
    <w:rsid w:val="00B32D32"/>
    <w:rsid w:val="00B36556"/>
    <w:rsid w:val="00B55E46"/>
    <w:rsid w:val="00B7110F"/>
    <w:rsid w:val="00B726EE"/>
    <w:rsid w:val="00B856D2"/>
    <w:rsid w:val="00B8619E"/>
    <w:rsid w:val="00BA5F6E"/>
    <w:rsid w:val="00BB6974"/>
    <w:rsid w:val="00BF1233"/>
    <w:rsid w:val="00C0373D"/>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02818"/>
    <w:rsid w:val="00D2091E"/>
    <w:rsid w:val="00D35283"/>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37AB9"/>
    <w:rsid w:val="00E4541D"/>
    <w:rsid w:val="00E46EF7"/>
    <w:rsid w:val="00E52B61"/>
    <w:rsid w:val="00E55153"/>
    <w:rsid w:val="00E76F78"/>
    <w:rsid w:val="00E80AE5"/>
    <w:rsid w:val="00EB096B"/>
    <w:rsid w:val="00EB4D92"/>
    <w:rsid w:val="00EC5EF0"/>
    <w:rsid w:val="00EF55D2"/>
    <w:rsid w:val="00EF603E"/>
    <w:rsid w:val="00EF6DBF"/>
    <w:rsid w:val="00F17B71"/>
    <w:rsid w:val="00F317D7"/>
    <w:rsid w:val="00F36FB6"/>
    <w:rsid w:val="00F41C85"/>
    <w:rsid w:val="00F46CF3"/>
    <w:rsid w:val="00F50AA3"/>
    <w:rsid w:val="00F5312B"/>
    <w:rsid w:val="00F56404"/>
    <w:rsid w:val="00F67356"/>
    <w:rsid w:val="00F756F7"/>
    <w:rsid w:val="00F77F90"/>
    <w:rsid w:val="00F9017F"/>
    <w:rsid w:val="00F90771"/>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F9BE"/>
  <w15:docId w15:val="{06C3F3DD-777D-4C68-96D0-C8F9C32C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94059-D88E-4AEB-855A-86170182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7526</Words>
  <Characters>42901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Юрисконсульт</cp:lastModifiedBy>
  <cp:revision>2</cp:revision>
  <cp:lastPrinted>2024-03-14T07:02:00Z</cp:lastPrinted>
  <dcterms:created xsi:type="dcterms:W3CDTF">2024-03-28T08:50:00Z</dcterms:created>
  <dcterms:modified xsi:type="dcterms:W3CDTF">2024-03-28T08:50:00Z</dcterms:modified>
</cp:coreProperties>
</file>