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lang w:val="uk-UA"/>
        </w:rPr>
      </w:pPr>
      <w:r>
        <w:rPr>
          <w:b/>
          <w:i/>
          <w:lang w:val="uk-UA"/>
        </w:rPr>
        <w:tab/>
        <w:t xml:space="preserve">                                                                                       </w:t>
      </w:r>
      <w:r>
        <w:rPr>
          <w:rFonts w:cs="Times New Roman" w:ascii="Times New Roman" w:hAnsi="Times New Roman"/>
          <w:b/>
          <w:lang w:val="uk-UA"/>
        </w:rPr>
        <w:t>Додаток 3 до тендерної документації</w:t>
      </w:r>
      <w:r>
        <w:rPr>
          <w:rFonts w:cs="Times New Roman" w:ascii="Times New Roman" w:hAnsi="Times New Roman"/>
          <w:b/>
          <w:sz w:val="24"/>
          <w:szCs w:val="24"/>
          <w:lang w:val="uk-UA"/>
        </w:rPr>
        <w:t xml:space="preserve"> </w:t>
      </w:r>
    </w:p>
    <w:p>
      <w:pPr>
        <w:pStyle w:val="Normal"/>
        <w:rPr>
          <w:rFonts w:ascii="Times New Roman" w:hAnsi="Times New Roman" w:cs="Times New Roman"/>
          <w:b/>
          <w:b/>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 xml:space="preserve">Інформація </w:t>
      </w:r>
    </w:p>
    <w:p>
      <w:pPr>
        <w:pStyle w:val="Normal"/>
        <w:rPr>
          <w:rFonts w:ascii="Times New Roman" w:hAnsi="Times New Roman" w:cs="Times New Roman"/>
          <w:b/>
          <w:b/>
          <w:bCs/>
          <w:iCs/>
          <w:sz w:val="24"/>
          <w:szCs w:val="24"/>
          <w:lang w:val="uk-UA"/>
        </w:rPr>
      </w:pPr>
      <w:r>
        <w:rPr>
          <w:rFonts w:cs="Times New Roman" w:ascii="Times New Roman" w:hAnsi="Times New Roman"/>
          <w:bCs/>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Pr>
          <w:rFonts w:cs="Times New Roman" w:ascii="Times New Roman" w:hAnsi="Times New Roman"/>
          <w:b/>
          <w:bCs/>
          <w:iCs/>
          <w:sz w:val="24"/>
          <w:szCs w:val="24"/>
          <w:lang w:val="uk-UA"/>
        </w:rPr>
        <w:t xml:space="preserve">: </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1. Інформаційна та рекламна продукція , 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ДК 021:2015(CPV) – 39290000-1 Фурнітура різна.</w:t>
      </w:r>
    </w:p>
    <w:p>
      <w:pPr>
        <w:pStyle w:val="Normal"/>
        <w:tabs>
          <w:tab w:val="clear" w:pos="708"/>
          <w:tab w:val="left" w:pos="-180" w:leader="none"/>
        </w:tabs>
        <w:jc w:val="center"/>
        <w:rPr>
          <w:rFonts w:ascii="Times New Roman" w:hAnsi="Times New Roman" w:cs="" w:cstheme="minorBidi"/>
          <w:sz w:val="20"/>
          <w:szCs w:val="20"/>
          <w:highlight w:val="none"/>
          <w:shd w:fill="FFFFFF" w:val="clear"/>
        </w:rPr>
      </w:pPr>
      <w:r>
        <w:rPr>
          <w:rFonts w:cs="" w:cstheme="minorBidi" w:ascii="Times New Roman" w:hAnsi="Times New Roman"/>
          <w:sz w:val="20"/>
          <w:szCs w:val="20"/>
          <w:shd w:fill="FFFFFF" w:val="clear"/>
        </w:rPr>
      </w:r>
    </w:p>
    <w:p>
      <w:pPr>
        <w:pStyle w:val="Normal"/>
        <w:tabs>
          <w:tab w:val="clear" w:pos="708"/>
          <w:tab w:val="left" w:pos="-180" w:leader="none"/>
        </w:tabs>
        <w:rPr>
          <w:sz w:val="22"/>
          <w:szCs w:val="22"/>
        </w:rPr>
      </w:pPr>
      <w:r>
        <w:rPr>
          <w:rFonts w:ascii="Times New Roman" w:hAnsi="Times New Roman"/>
          <w:sz w:val="24"/>
          <w:szCs w:val="24"/>
          <w:lang w:val="uk-UA" w:eastAsia="en-US" w:bidi="ar-SA"/>
        </w:rPr>
        <w:t>2. Технічні, якісні та кількісні характеристики предмета закупівлі:</w:t>
      </w:r>
    </w:p>
    <w:p>
      <w:pPr>
        <w:pStyle w:val="Normal"/>
        <w:tabs>
          <w:tab w:val="clear" w:pos="708"/>
          <w:tab w:val="left" w:pos="-180" w:leader="none"/>
        </w:tabs>
        <w:jc w:val="center"/>
        <w:rPr>
          <w:rFonts w:ascii="Times New Roman" w:hAnsi="Times New Roman"/>
          <w:sz w:val="24"/>
          <w:szCs w:val="24"/>
          <w:lang w:val="uk-UA" w:bidi="ar-SA"/>
        </w:rPr>
      </w:pPr>
      <w:r>
        <w:rPr>
          <w:rFonts w:ascii="Times New Roman" w:hAnsi="Times New Roman"/>
          <w:sz w:val="24"/>
          <w:szCs w:val="24"/>
          <w:lang w:val="uk-UA" w:bidi="ar-SA"/>
        </w:rPr>
      </w:r>
    </w:p>
    <w:p>
      <w:pPr>
        <w:pStyle w:val="Normal"/>
        <w:jc w:val="center"/>
        <w:rPr>
          <w:rFonts w:ascii="Times New Roman" w:hAnsi="Times New Roman"/>
          <w:b/>
          <w:b/>
          <w:sz w:val="28"/>
          <w:szCs w:val="28"/>
          <w:lang w:val="uk-UA" w:bidi="ar-SA"/>
        </w:rPr>
      </w:pPr>
      <w:r>
        <w:rPr>
          <w:rFonts w:ascii="Times New Roman" w:hAnsi="Times New Roman"/>
          <w:b/>
          <w:sz w:val="28"/>
          <w:szCs w:val="28"/>
          <w:lang w:val="uk-UA" w:bidi="ar-SA"/>
        </w:rPr>
      </w:r>
    </w:p>
    <w:tbl>
      <w:tblPr>
        <w:tblW w:w="9791" w:type="dxa"/>
        <w:jc w:val="left"/>
        <w:tblInd w:w="-303" w:type="dxa"/>
        <w:tblLayout w:type="fixed"/>
        <w:tblCellMar>
          <w:top w:w="0" w:type="dxa"/>
          <w:left w:w="108" w:type="dxa"/>
          <w:bottom w:w="0" w:type="dxa"/>
          <w:right w:w="108" w:type="dxa"/>
        </w:tblCellMar>
        <w:tblLook w:val="04a0"/>
      </w:tblPr>
      <w:tblGrid>
        <w:gridCol w:w="700"/>
        <w:gridCol w:w="3284"/>
        <w:gridCol w:w="3448"/>
        <w:gridCol w:w="1241"/>
        <w:gridCol w:w="1118"/>
      </w:tblGrid>
      <w:tr>
        <w:trPr>
          <w:trHeight w:val="912"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 xml:space="preserve">№ </w:t>
            </w:r>
            <w:r>
              <w:rPr>
                <w:rFonts w:ascii="Times New Roman" w:hAnsi="Times New Roman"/>
                <w:color w:val="000000"/>
                <w:sz w:val="24"/>
                <w:szCs w:val="24"/>
                <w:lang w:val="uk-UA" w:eastAsia="ru-RU" w:bidi="ar-SA"/>
              </w:rPr>
              <w:t>п.п.</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Найменування</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Опис</w:t>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Times New Roman" w:hAnsi="Times New Roman"/>
                <w:sz w:val="26"/>
                <w:szCs w:val="26"/>
                <w:lang w:val="uk-UA" w:bidi="ar-SA"/>
              </w:rPr>
            </w:pPr>
            <w:r>
              <w:rPr>
                <w:rFonts w:ascii="Times New Roman" w:hAnsi="Times New Roman"/>
                <w:color w:val="000000"/>
                <w:sz w:val="26"/>
                <w:szCs w:val="26"/>
                <w:lang w:val="uk-UA" w:eastAsia="ru-RU" w:bidi="ar-SA"/>
              </w:rPr>
              <w:t>Одиниця виміру</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Times New Roman" w:hAnsi="Times New Roman"/>
                <w:sz w:val="26"/>
                <w:szCs w:val="26"/>
                <w:lang w:val="uk-UA" w:bidi="ar-SA"/>
              </w:rPr>
            </w:pPr>
            <w:r>
              <w:rPr>
                <w:rFonts w:ascii="Times New Roman" w:hAnsi="Times New Roman"/>
                <w:color w:val="000000"/>
                <w:sz w:val="26"/>
                <w:szCs w:val="26"/>
                <w:lang w:val="uk-UA" w:eastAsia="ru-RU" w:bidi="ar-SA"/>
              </w:rPr>
              <w:t>Кількість</w:t>
            </w:r>
          </w:p>
        </w:tc>
      </w:tr>
      <w:tr>
        <w:trPr>
          <w:trHeight w:val="1598"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1</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Стенд ПВХ з друком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w:t>
            </w:r>
          </w:p>
          <w:p>
            <w:pPr>
              <w:pStyle w:val="Normal"/>
              <w:widowControl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 </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Стенд іформаційний ПВХ форматів А2 – А0</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Матеріал – ПВХ до 5 мм,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Друк прямий на ПВХ 4+0. Висока якість друку (у макетах дрібні деталі)</w:t>
            </w:r>
          </w:p>
          <w:p>
            <w:pPr>
              <w:pStyle w:val="Normal"/>
              <w:widowControl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Разові тиражі</w:t>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м2</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70,</w:t>
            </w:r>
            <w:r>
              <w:rPr>
                <w:rFonts w:cs="Calibri" w:ascii="Times New Roman" w:hAnsi="Times New Roman"/>
                <w:sz w:val="24"/>
                <w:szCs w:val="24"/>
                <w:lang w:val="uk-UA" w:eastAsia="ru-RU" w:bidi="ar-SA"/>
              </w:rPr>
              <w:t>00</w:t>
            </w:r>
          </w:p>
        </w:tc>
      </w:tr>
      <w:tr>
        <w:trPr>
          <w:trHeight w:val="1864"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2</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Інформаційні панелі акрил з друком</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Рекламні панелі акрилові форматів А2 – А0</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Матеріал – акрил прозорий, молочний до 5 мм,</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УФ друк на акрилі 4+0, дзеркальний. Висока якість друку (у макетах дрібні деталі)</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Кріплення на дистанційні тримачі металеві, 6 шт на 1 м/кв</w:t>
            </w:r>
          </w:p>
          <w:p>
            <w:pPr>
              <w:pStyle w:val="Normal"/>
              <w:widowControl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Разові тиражі</w:t>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м2</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50,</w:t>
            </w:r>
            <w:r>
              <w:rPr>
                <w:rFonts w:cs="Calibri" w:ascii="Times New Roman" w:hAnsi="Times New Roman"/>
                <w:sz w:val="24"/>
                <w:szCs w:val="24"/>
                <w:lang w:val="uk-UA" w:eastAsia="ru-RU" w:bidi="ar-SA"/>
              </w:rPr>
              <w:t>00</w:t>
            </w:r>
          </w:p>
        </w:tc>
      </w:tr>
      <w:tr>
        <w:trPr>
          <w:trHeight w:val="1439"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3</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Банер литий</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Банерна тканина (банер литий) від 2 до 10 кв/м кожна, з люверсами за периметром.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Друк 4+0, якість друку 1440 dpi. </w:t>
            </w:r>
          </w:p>
          <w:p>
            <w:pPr>
              <w:pStyle w:val="Normal"/>
              <w:widowControl w:val="false"/>
              <w:spacing w:before="0" w:after="160"/>
              <w:rPr>
                <w:rFonts w:ascii="Times New Roman" w:hAnsi="Times New Roman" w:cs="Calibri"/>
                <w:sz w:val="24"/>
                <w:szCs w:val="24"/>
                <w:lang w:val="uk-UA" w:eastAsia="ru-RU" w:bidi="ar-SA"/>
              </w:rPr>
            </w:pPr>
            <w:r>
              <w:rPr>
                <w:rFonts w:cs="Calibri" w:ascii="Times New Roman" w:hAnsi="Times New Roman"/>
                <w:sz w:val="24"/>
                <w:szCs w:val="24"/>
                <w:lang w:val="uk-UA" w:eastAsia="ru-RU" w:bidi="ar-SA"/>
              </w:rPr>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м2</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30,</w:t>
            </w:r>
            <w:r>
              <w:rPr>
                <w:rFonts w:cs="Calibri" w:ascii="Times New Roman" w:hAnsi="Times New Roman"/>
                <w:sz w:val="24"/>
                <w:szCs w:val="24"/>
                <w:lang w:val="uk-UA" w:eastAsia="ru-RU" w:bidi="ar-SA"/>
              </w:rPr>
              <w:t>00</w:t>
            </w:r>
          </w:p>
        </w:tc>
      </w:tr>
      <w:tr>
        <w:trPr>
          <w:trHeight w:val="1644"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4</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Банер ламінований</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Банерна тканина ламінована від 2 до 10 кв/м кожна, з люверсами за периметром.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Друк 4+4 (двосторонній), якість друку 1440 dpi. </w:t>
            </w:r>
          </w:p>
          <w:p>
            <w:pPr>
              <w:pStyle w:val="Normal"/>
              <w:widowControl w:val="false"/>
              <w:spacing w:before="0" w:after="160"/>
              <w:rPr>
                <w:rFonts w:ascii="Times New Roman" w:hAnsi="Times New Roman" w:cs="Calibri"/>
                <w:sz w:val="24"/>
                <w:szCs w:val="24"/>
                <w:lang w:val="uk-UA" w:eastAsia="ru-RU" w:bidi="ar-SA"/>
              </w:rPr>
            </w:pPr>
            <w:r>
              <w:rPr>
                <w:rFonts w:cs="Calibri" w:ascii="Times New Roman" w:hAnsi="Times New Roman"/>
                <w:sz w:val="24"/>
                <w:szCs w:val="24"/>
                <w:lang w:val="uk-UA" w:eastAsia="ru-RU" w:bidi="ar-SA"/>
              </w:rPr>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м2</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30,</w:t>
            </w:r>
            <w:r>
              <w:rPr>
                <w:rFonts w:cs="Calibri" w:ascii="Times New Roman" w:hAnsi="Times New Roman"/>
                <w:sz w:val="24"/>
                <w:szCs w:val="24"/>
                <w:lang w:val="uk-UA" w:eastAsia="ru-RU" w:bidi="ar-SA"/>
              </w:rPr>
              <w:t>00</w:t>
            </w:r>
          </w:p>
        </w:tc>
      </w:tr>
      <w:tr>
        <w:trPr>
          <w:trHeight w:val="2495"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5</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 xml:space="preserve">Аплікація з ПВХ плівки </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Аплікація дизайнерська з кольорової ПВХ-плівки з глянцевою / матовою поверхнею.</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Плоттерна порізка малюнку за макетами замовника (малюнок містить дрібні деталі).</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Може застосовуватися всередині приміщень ззовні. Товщина плівки без підкладки не менш 0,075 мм</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Підкладка — силіконізований з одного боку папір щільністю 137 г/м2, що забезпечує легке зняття плівки. Зі зворотної сторони нанесена масштабна сітка. Клей — поліакрілатова дисперсія довготривалої дії (клейове зусилля 16Н/25 мм).</w:t>
            </w:r>
          </w:p>
          <w:p>
            <w:pPr>
              <w:pStyle w:val="Normal"/>
              <w:widowControl w:val="false"/>
              <w:spacing w:before="0" w:after="160"/>
              <w:rPr>
                <w:rFonts w:ascii="Times New Roman" w:hAnsi="Times New Roman" w:cs="Calibri"/>
                <w:sz w:val="24"/>
                <w:szCs w:val="24"/>
                <w:lang w:val="uk-UA" w:eastAsia="ru-RU" w:bidi="ar-SA"/>
              </w:rPr>
            </w:pPr>
            <w:r>
              <w:rPr>
                <w:rFonts w:cs="Calibri" w:ascii="Times New Roman" w:hAnsi="Times New Roman"/>
                <w:sz w:val="24"/>
                <w:szCs w:val="24"/>
                <w:lang w:val="uk-UA" w:eastAsia="ru-RU" w:bidi="ar-SA"/>
              </w:rPr>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м2</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30,</w:t>
            </w:r>
            <w:r>
              <w:rPr>
                <w:rFonts w:cs="Calibri" w:ascii="Times New Roman" w:hAnsi="Times New Roman"/>
                <w:sz w:val="24"/>
                <w:szCs w:val="24"/>
                <w:lang w:val="uk-UA" w:eastAsia="ru-RU" w:bidi="ar-SA"/>
              </w:rPr>
              <w:t>00</w:t>
            </w:r>
          </w:p>
        </w:tc>
      </w:tr>
      <w:tr>
        <w:trPr>
          <w:trHeight w:val="2418"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6</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Конструкція металева для установки прес-воллів і бренд-воллів.</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Розмір конструкції – 2х3 м, але може бути змінений на вимогу замовника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Матеріал - хромована труба, діаметр 25 мм</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Кріплення - лиття, з'єднується нержавіючими болтом та гайкою, ніжки, ключ для монтажу.</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На конструкції розміщуються банери на люверсах, кріплення на стяжки або  "кишеня".  </w:t>
            </w:r>
          </w:p>
          <w:p>
            <w:pPr>
              <w:pStyle w:val="Normal"/>
              <w:widowControl w:val="false"/>
              <w:suppressAutoHyphens w:val="false"/>
              <w:spacing w:before="0" w:after="160"/>
              <w:rPr>
                <w:rFonts w:ascii="Times New Roman" w:hAnsi="Times New Roman" w:cs="Calibri"/>
                <w:sz w:val="24"/>
                <w:szCs w:val="24"/>
                <w:lang w:val="uk-UA" w:eastAsia="ru-RU" w:bidi="ar-SA"/>
              </w:rPr>
            </w:pPr>
            <w:r>
              <w:rPr>
                <w:rFonts w:cs="Calibri" w:ascii="Times New Roman" w:hAnsi="Times New Roman"/>
                <w:sz w:val="24"/>
                <w:szCs w:val="24"/>
                <w:lang w:val="uk-UA" w:eastAsia="ru-RU" w:bidi="ar-SA"/>
              </w:rPr>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шт</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5</w:t>
            </w:r>
          </w:p>
        </w:tc>
      </w:tr>
      <w:tr>
        <w:trPr>
          <w:trHeight w:val="2418"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7</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Конструкція мобільна «павук»</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X-банер (павук) – мобільна конструкція з центральною опорою триніжного типу. </w:t>
            </w:r>
          </w:p>
          <w:p>
            <w:pPr>
              <w:pStyle w:val="Normal"/>
              <w:widowControl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1х2 м Банерна тканина  з люверсами натягується на 4 металеві кріплення. Алюмінієвий каркас, шурупи, люверси, нейлоновий чохол у комплекті.</w:t>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шт</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6</w:t>
            </w:r>
          </w:p>
        </w:tc>
      </w:tr>
      <w:tr>
        <w:trPr>
          <w:trHeight w:val="1692"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8</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Конструкція мобільна - стенд рол ап Standart  200х100 см</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Матеріали конструкції: Алюміній, колір сріблястий</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Банер литий з УФ-друком 200х100 см у комплекті</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Клік-профіль для верхнього кріплення банера.</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Габарити в установленому вигляді</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210 см (висота) х 102 см (ширина) х 9 см (глибина корпуса); довжина ніжок  - 38 см.</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Габарити в складеному вигляді в чохлі 104 см х 12 см х 10 см</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Маса нетто однієї конструкції</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2,6 кг (маса конструкції без полотна), можливий толеранс по вазі +/-10%</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Індивідуальна упаковка</w:t>
            </w:r>
          </w:p>
          <w:p>
            <w:pPr>
              <w:pStyle w:val="Normal"/>
              <w:widowControl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 xml:space="preserve">Тканинна сумка </w:t>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шт</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2</w:t>
            </w:r>
          </w:p>
        </w:tc>
      </w:tr>
      <w:tr>
        <w:trPr>
          <w:trHeight w:val="1692"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9</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Конструкція мобільна - стенд рол-ап Standart 150x200 см</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Матеріали конструкції: Алюміній, колір сріблястий</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Банер литий з УФ-друком 150х200 см у комплекті.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Клік-профіль для верхнього кріплення банера</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Габарити в установленому вигляді</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210 см (висота) х152 см (ширина) х 9 см (глибина корпуса); довжина ніжок - 38 см.</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Габарити в складеному вигляді в чохлі</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154 см х 12 см х 10 см</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маса нетто однієї конструкції</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3,7 кг (маса конструкції без полотна), можливий толеранс по вазі +/-10%</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Індивідуальна упаковка</w:t>
            </w:r>
          </w:p>
          <w:p>
            <w:pPr>
              <w:pStyle w:val="Normal"/>
              <w:widowControl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 xml:space="preserve">Тканинна сумка </w:t>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шт</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2</w:t>
            </w:r>
          </w:p>
        </w:tc>
      </w:tr>
      <w:tr>
        <w:trPr>
          <w:trHeight w:val="1692" w:hRule="atLeast"/>
        </w:trPr>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10</w:t>
            </w:r>
          </w:p>
        </w:tc>
        <w:tc>
          <w:tcPr>
            <w:tcW w:w="32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Конструкція  - мобільний лайтбокс</w:t>
            </w:r>
          </w:p>
          <w:p>
            <w:pPr>
              <w:pStyle w:val="Normal"/>
              <w:widowControl w:val="false"/>
              <w:suppressAutoHyphens w:val="false"/>
              <w:rPr>
                <w:rFonts w:ascii="Times New Roman" w:hAnsi="Times New Roman" w:cs="Calibri"/>
                <w:sz w:val="24"/>
                <w:szCs w:val="24"/>
                <w:lang w:val="uk-UA" w:eastAsia="ru-RU" w:bidi="ar-SA"/>
              </w:rPr>
            </w:pPr>
            <w:r>
              <w:rPr>
                <w:rFonts w:cs="Calibri" w:ascii="Times New Roman" w:hAnsi="Times New Roman"/>
                <w:sz w:val="24"/>
                <w:szCs w:val="24"/>
                <w:lang w:val="uk-UA" w:eastAsia="ru-RU" w:bidi="ar-SA"/>
              </w:rPr>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200х250х120 см </w:t>
            </w:r>
          </w:p>
          <w:p>
            <w:pPr>
              <w:pStyle w:val="Normal"/>
              <w:widowControl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 </w:t>
            </w:r>
          </w:p>
        </w:tc>
        <w:tc>
          <w:tcPr>
            <w:tcW w:w="34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Розмір 200х250х120 см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Корпус лайтбоксу - алюмінієвий профіль шириною 120 мм, забезпечений фурнітурою для легкого та швидкого монтажу без інструментів.  Коннектори, що дозволяють з'єднати 2 лайтбокси під прямим кутом.</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Підсвічування внутрішнє  - діоди торцевої підсвітки встановлені на верхніх і нижніх горизонтальних ламелях в захисних алюмінієвих каналах. Підключення живлення до світлодіодів здійснюється запатентованими магнітними коннекторами.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xml:space="preserve">Полотно текстильне, поліестрове світлорозсіювальне - 2 шт, зображення друкується методом сублімації.  Кріплення до корпусу лайтбоксу  за допомогою пришитого по периметру силіконового канта з лицьової та тильної сторони. </w:t>
            </w:r>
          </w:p>
          <w:p>
            <w:pPr>
              <w:pStyle w:val="Normal"/>
              <w:widowControl w:val="false"/>
              <w:suppressAutoHyphens w:val="false"/>
              <w:rPr>
                <w:rFonts w:ascii="Times New Roman" w:hAnsi="Times New Roman"/>
                <w:sz w:val="24"/>
                <w:szCs w:val="24"/>
                <w:lang w:val="uk-UA" w:bidi="ar-SA"/>
              </w:rPr>
            </w:pPr>
            <w:r>
              <w:rPr>
                <w:rFonts w:cs="Calibri" w:ascii="Times New Roman" w:hAnsi="Times New Roman"/>
                <w:sz w:val="24"/>
                <w:szCs w:val="24"/>
                <w:lang w:val="uk-UA" w:eastAsia="ru-RU" w:bidi="ar-SA"/>
              </w:rPr>
              <w:t> </w:t>
            </w:r>
          </w:p>
          <w:p>
            <w:pPr>
              <w:pStyle w:val="Normal"/>
              <w:widowControl w:val="false"/>
              <w:spacing w:before="0" w:after="160"/>
              <w:rPr>
                <w:rFonts w:ascii="Times New Roman" w:hAnsi="Times New Roman"/>
                <w:sz w:val="24"/>
                <w:szCs w:val="24"/>
                <w:lang w:val="uk-UA" w:bidi="ar-SA"/>
              </w:rPr>
            </w:pPr>
            <w:r>
              <w:rPr>
                <w:rFonts w:cs="Calibri" w:ascii="Times New Roman" w:hAnsi="Times New Roman"/>
                <w:sz w:val="24"/>
                <w:szCs w:val="24"/>
                <w:lang w:val="uk-UA" w:eastAsia="ru-RU" w:bidi="ar-SA"/>
              </w:rPr>
              <w:t>Пакування в сумку для зберігання та транспортування.</w:t>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8"/>
                <w:szCs w:val="28"/>
                <w:lang w:val="uk-UA" w:bidi="ar-SA"/>
              </w:rPr>
            </w:pPr>
            <w:r>
              <w:rPr>
                <w:rFonts w:cs="Calibri" w:ascii="Times New Roman" w:hAnsi="Times New Roman"/>
                <w:sz w:val="28"/>
                <w:szCs w:val="28"/>
                <w:lang w:val="uk-UA" w:eastAsia="ru-RU" w:bidi="ar-SA"/>
              </w:rPr>
              <w:t>шт</w:t>
            </w:r>
          </w:p>
        </w:tc>
        <w:tc>
          <w:tcPr>
            <w:tcW w:w="1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160"/>
              <w:rPr>
                <w:rFonts w:ascii="Times New Roman" w:hAnsi="Times New Roman"/>
                <w:sz w:val="28"/>
                <w:szCs w:val="28"/>
                <w:lang w:val="uk-UA" w:bidi="ar-SA"/>
              </w:rPr>
            </w:pPr>
            <w:r>
              <w:rPr>
                <w:rFonts w:cs="Calibri" w:ascii="Times New Roman" w:hAnsi="Times New Roman"/>
                <w:sz w:val="28"/>
                <w:szCs w:val="28"/>
                <w:lang w:val="uk-UA" w:eastAsia="ru-RU" w:bidi="ar-SA"/>
              </w:rPr>
              <w:t>1</w:t>
            </w:r>
          </w:p>
        </w:tc>
      </w:tr>
    </w:tbl>
    <w:p>
      <w:pPr>
        <w:pStyle w:val="Normal"/>
        <w:shd w:val="clear" w:color="auto" w:fill="FFFFFF"/>
        <w:suppressAutoHyphens w:val="true"/>
        <w:spacing w:lineRule="auto" w:line="240" w:before="0" w:after="0"/>
        <w:jc w:val="both"/>
        <w:rPr>
          <w:rFonts w:ascii="Times New Roman" w:hAnsi="Times New Roman"/>
          <w:sz w:val="28"/>
          <w:szCs w:val="28"/>
          <w:lang w:val="uk-UA" w:bidi="ar-SA"/>
        </w:rPr>
      </w:pPr>
      <w:r>
        <w:rPr>
          <w:rFonts w:eastAsia="Mariupol Medium" w:cs="Times New Roman" w:ascii="Times New Roman" w:hAnsi="Times New Roman"/>
          <w:color w:val="00000A"/>
          <w:sz w:val="28"/>
          <w:szCs w:val="28"/>
          <w:lang w:val="uk-UA" w:eastAsia="uk-UA" w:bidi="ar-SA"/>
        </w:rPr>
        <w:t>3. Місце поставки товару:</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02000, м. Київ, вул. Антоновича, 39</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02694, м. Київ, вул. Якова Гніздовського, 9;</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21012, м. Вінниця, вул. Соборна 50</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49070, вулиця Андрія Фабра, 10</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69061, м. Запоріжжя, пр. Соборний, 150А</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76019, м. Івано-Франківськ, Вулиця військових ветеранів , 12</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77301, м. Калуш, вул. Грушевського,13</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50027, м. Кривий Ріг, вул. Героїв АТО, 11</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25006, м. Кропивницький, вул. Архітектора Паученко 41/26</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79007, м. Львів, Галицька площа, 15</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65125, м. Одеса, вул. Пішонівська, 30а</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33013, м. Рівне, вул. Міцкевича, буд 5</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46008, м. Тернопіль, Площа Героїв Євромайдану, 9</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88018, м. Ужгород, вулиця Капушанська, 2/4</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29013, м. Хмельницький, вул. Героїв Маріуполя, 3-А</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18000, м. Черкаси, вул. Володимира Ложешникова, 52/1</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58000, м. Чернівці, Площа Центральна, буд1</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51931, м. Кам'янське, Дніпропетровська область,  проспект Свободи, 15</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39600, м. Кременчуг, Полтавська область, вул. Небесної сотні, 30А</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4.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5. Постачання здійснюється на склад покупця за рахунок Продавця. Продавець, при відправленні товару, дає доручення перевізнику (пошта, кур’єрська доставка та ін.) про необхідність отримання від вказаної контактної особи Покупця, що відповідає за прийомку Товару у пункті призначення, особистого підпису на супровідних документах, що буде свідчити про факт доставки Товару по призначенню та в повному обсязі. У разі невідповідності, контактна особа Покупця або його відповідний МВО (матеріально – відповідальна особа) має право як зробити відповідні записи у товарно – транспортних документах, так і відмовитися від поставки у разі критичного пошкодження пакування, великої недостачі та т.п. У цьому випадку товар вважається не доставленим та повертається Продавцю за його рахунок для виправлення недоліків та повторної відправки. Продавець з кожною партиею визначає на окремому листі контактні дані особи, відповідальної за відвантаження (комплектування) товару, для можливості негайного зв’язку з МВО у разі питань при доставці.</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6</w:t>
      </w:r>
      <w:r>
        <w:rPr>
          <w:rFonts w:eastAsia="Mariupol Medium" w:cs="Times New Roman" w:ascii="Times New Roman" w:hAnsi="Times New Roman"/>
          <w:color w:val="00000A"/>
          <w:sz w:val="24"/>
          <w:szCs w:val="24"/>
          <w:lang w:val="uk-UA" w:eastAsia="uk-UA" w:bidi="ar-SA"/>
        </w:rPr>
        <w:t>.  Демонтаж, підготовчі роботи та монтаж входять до вартості Товару.</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Посада, прізвище, ініціали, підпис уповноваженої особи Учасника.</w:t>
      </w:r>
    </w:p>
    <w:p>
      <w:pPr>
        <w:pStyle w:val="Normal"/>
        <w:rPr>
          <w:lang w:val="uk-UA"/>
        </w:rPr>
      </w:pPr>
      <w:r>
        <w:rPr>
          <w:lang w:val="uk-UA"/>
        </w:rPr>
      </w:r>
    </w:p>
    <w:p>
      <w:pPr>
        <w:pStyle w:val="Normal"/>
        <w:widowControl/>
        <w:bidi w:val="0"/>
        <w:spacing w:lineRule="auto" w:line="259" w:before="0" w:after="160"/>
        <w:jc w:val="left"/>
        <w:rPr/>
      </w:pPr>
      <w:r>
        <w:rPr/>
      </w:r>
    </w:p>
    <w:sectPr>
      <w:type w:val="nextPage"/>
      <w:pgSz w:w="11906" w:h="16838"/>
      <w:pgMar w:left="1134" w:right="850" w:gutter="0" w:header="0" w:top="709"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qFormat/>
    <w:pPr/>
    <w:rPr/>
  </w:style>
  <w:style w:type="character" w:styleId="DefaultParagraphFont" w:default="1">
    <w:name w:val="Default Paragraph Font"/>
    <w:uiPriority w:val="1"/>
    <w:semiHidden/>
    <w:unhideWhenUsed/>
    <w:qFormat/>
    <w:rPr/>
  </w:style>
  <w:style w:type="character" w:styleId="Strong">
    <w:name w:val="Strong"/>
    <w:qFormat/>
    <w:rPr>
      <w:rFonts w:cs="Times New Roman"/>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Standard" w:customStyle="1">
    <w:name w:val="Standard"/>
    <w:qFormat/>
    <w:rsid w:val="00272932"/>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uk-UA" w:eastAsia="uk-UA" w:bidi="ar-SA"/>
    </w:rPr>
  </w:style>
  <w:style w:type="paragraph" w:styleId="Style18">
    <w:name w:val="Текст в заданном формате"/>
    <w:basedOn w:val="Normal"/>
    <w:qFormat/>
    <w:pPr/>
    <w:rPr/>
  </w:style>
  <w:style w:type="paragraph" w:styleId="Style19">
    <w:name w:val="Текст у вказаному форматі"/>
    <w:basedOn w:val="Normal"/>
    <w:qFormat/>
    <w:pPr>
      <w:suppressAutoHyphens w:val="true"/>
    </w:pPr>
    <w:rPr>
      <w:rFonts w:ascii="Liberation Mono" w:hAnsi="Liberation Mono" w:eastAsia="Liberation Mono" w:cs="Liberation Mono"/>
      <w:sz w:val="20"/>
      <w:szCs w:val="20"/>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Default">
    <w:name w:val="Default"/>
    <w:qFormat/>
    <w:pPr>
      <w:widowControl/>
      <w:suppressAutoHyphens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name w:val="LO-normal"/>
    <w:qFormat/>
    <w:pPr>
      <w:widowControl/>
      <w:suppressAutoHyphens w:val="true"/>
      <w:bidi w:val="0"/>
      <w:spacing w:before="0" w:after="0"/>
      <w:jc w:val="left"/>
    </w:pPr>
    <w:rPr>
      <w:rFonts w:ascii="Times New Roman;Times New Roman" w:hAnsi="Times New Roman;Times New Roman" w:eastAsia="Times New Roman;Times New Roman" w:cs="Times New Roman;Times New Roman"/>
      <w:color w:val="00000A"/>
      <w:kern w:val="0"/>
      <w:sz w:val="24"/>
      <w:szCs w:val="22"/>
      <w:lang w:val="ru-RU" w:eastAsia="en-US" w:bidi="ar-SA"/>
    </w:rPr>
  </w:style>
  <w:style w:type="paragraph" w:styleId="Style22">
    <w:name w:val="Содержимое таблицы"/>
    <w:basedOn w:val="Normal"/>
    <w:qFormat/>
    <w:pPr/>
    <w:rPr/>
  </w:style>
  <w:style w:type="paragraph" w:styleId="LOnormal1">
    <w:name w:val="LO-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f0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2343</TotalTime>
  <Application>LibreOffice/7.4.2.3$Windows_X86_64 LibreOffice_project/382eef1f22670f7f4118c8c2dd222ec7ad009daf</Application>
  <AppVersion>15.0000</AppVersion>
  <Pages>5</Pages>
  <Words>931</Words>
  <Characters>5628</Characters>
  <CharactersWithSpaces>6628</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2022-12-01T06:53:00Z</dcterms:created>
  <dc:creator>Acer</dc:creator>
  <dc:description/>
  <dc:language>uk-UA</dc:language>
  <cp:lastModifiedBy/>
  <dcterms:modified xsi:type="dcterms:W3CDTF">2024-04-04T21:53:36Z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