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4F5B" w14:textId="765C81DB" w:rsidR="002771D0" w:rsidRPr="002771D0" w:rsidRDefault="002771D0" w:rsidP="00413C9F">
      <w:pPr>
        <w:rPr>
          <w:rFonts w:ascii="Times New Roman" w:hAnsi="Times New Roman"/>
          <w:b/>
          <w:color w:val="000000"/>
          <w:lang w:val="ru-RU"/>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0050BA53"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B27221">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0EFDA50F"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946E9E">
        <w:rPr>
          <w:rFonts w:ascii="Times New Roman" w:hAnsi="Times New Roman"/>
          <w:sz w:val="24"/>
        </w:rPr>
        <w:t>4</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 xml:space="preserve">иректора </w:t>
      </w:r>
      <w:proofErr w:type="spellStart"/>
      <w:r w:rsidRPr="00D91CB9">
        <w:rPr>
          <w:rFonts w:ascii="Times New Roman" w:hAnsi="Times New Roman" w:cs="Times New Roman"/>
          <w:color w:val="000000"/>
          <w:spacing w:val="-1"/>
          <w:sz w:val="24"/>
          <w:szCs w:val="24"/>
        </w:rPr>
        <w:t>Краснощок</w:t>
      </w:r>
      <w:r>
        <w:rPr>
          <w:rFonts w:ascii="Times New Roman" w:hAnsi="Times New Roman" w:cs="Times New Roman"/>
          <w:color w:val="000000"/>
          <w:spacing w:val="-1"/>
          <w:sz w:val="24"/>
          <w:szCs w:val="24"/>
        </w:rPr>
        <w:t>а</w:t>
      </w:r>
      <w:proofErr w:type="spellEnd"/>
      <w:r w:rsidRPr="00D91CB9">
        <w:rPr>
          <w:rFonts w:ascii="Times New Roman" w:hAnsi="Times New Roman" w:cs="Times New Roman"/>
          <w:color w:val="000000"/>
          <w:spacing w:val="-1"/>
          <w:sz w:val="24"/>
          <w:szCs w:val="24"/>
        </w:rPr>
        <w:t xml:space="preserve"> </w:t>
      </w:r>
      <w:proofErr w:type="spellStart"/>
      <w:r w:rsidRPr="00D91CB9">
        <w:rPr>
          <w:rFonts w:ascii="Times New Roman" w:hAnsi="Times New Roman" w:cs="Times New Roman"/>
          <w:color w:val="000000"/>
          <w:spacing w:val="-1"/>
          <w:sz w:val="24"/>
          <w:szCs w:val="24"/>
        </w:rPr>
        <w:t>Вячеслава</w:t>
      </w:r>
      <w:proofErr w:type="spellEnd"/>
      <w:r w:rsidRPr="00D91CB9">
        <w:rPr>
          <w:rFonts w:ascii="Times New Roman" w:hAnsi="Times New Roman" w:cs="Times New Roman"/>
          <w:color w:val="000000"/>
          <w:spacing w:val="-1"/>
          <w:sz w:val="24"/>
          <w:szCs w:val="24"/>
        </w:rPr>
        <w:t xml:space="preserve">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0" w:name="_Hlk134873244"/>
      <w:r w:rsidR="008B5B78" w:rsidRPr="008B5B78">
        <w:rPr>
          <w:rFonts w:ascii="Times New Roman" w:hAnsi="Times New Roman" w:cs="Times New Roman"/>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008B5B78" w:rsidRPr="008B5B78">
        <w:rPr>
          <w:rFonts w:ascii="Times New Roman" w:hAnsi="Times New Roman" w:cs="Times New Roman"/>
          <w:sz w:val="24"/>
          <w:szCs w:val="24"/>
        </w:rPr>
        <w:t>закупівель</w:t>
      </w:r>
      <w:proofErr w:type="spellEnd"/>
      <w:r w:rsidR="008B5B78"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6ED1B540"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proofErr w:type="spellStart"/>
      <w:r w:rsidR="005A63E9" w:rsidRPr="00BB0473">
        <w:rPr>
          <w:rFonts w:ascii="Times New Roman" w:hAnsi="Times New Roman" w:cs="Times New Roman"/>
          <w:color w:val="000000"/>
          <w:sz w:val="24"/>
          <w:szCs w:val="24"/>
        </w:rPr>
        <w:t>Постачальник</w:t>
      </w:r>
      <w:proofErr w:type="spellEnd"/>
      <w:r w:rsidR="005A63E9" w:rsidRPr="00BB0473">
        <w:rPr>
          <w:rFonts w:ascii="Times New Roman" w:hAnsi="Times New Roman" w:cs="Times New Roman"/>
          <w:b/>
          <w:bCs/>
          <w:color w:val="000000"/>
          <w:sz w:val="24"/>
          <w:szCs w:val="24"/>
        </w:rPr>
        <w:t xml:space="preserve"> </w:t>
      </w:r>
      <w:proofErr w:type="spellStart"/>
      <w:r w:rsidR="005A63E9" w:rsidRPr="00BB0473">
        <w:rPr>
          <w:rFonts w:ascii="Times New Roman" w:hAnsi="Times New Roman" w:cs="Times New Roman"/>
          <w:color w:val="000000"/>
          <w:sz w:val="24"/>
          <w:szCs w:val="24"/>
        </w:rPr>
        <w:t>зобов'язується</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поставляти</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поставити</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Покупцю</w:t>
      </w:r>
      <w:proofErr w:type="spellEnd"/>
      <w:r w:rsidR="005A63E9" w:rsidRPr="00BB0473">
        <w:rPr>
          <w:rFonts w:ascii="Times New Roman" w:hAnsi="Times New Roman" w:cs="Times New Roman"/>
          <w:color w:val="000000"/>
          <w:sz w:val="24"/>
          <w:szCs w:val="24"/>
        </w:rPr>
        <w:t xml:space="preserve"> товар, за предметом </w:t>
      </w:r>
      <w:proofErr w:type="spellStart"/>
      <w:r w:rsidR="005A63E9" w:rsidRPr="00BB0473">
        <w:rPr>
          <w:rFonts w:ascii="Times New Roman" w:hAnsi="Times New Roman" w:cs="Times New Roman"/>
          <w:color w:val="000000"/>
          <w:sz w:val="24"/>
          <w:szCs w:val="24"/>
        </w:rPr>
        <w:t>закупівлі</w:t>
      </w:r>
      <w:proofErr w:type="spellEnd"/>
      <w:r w:rsidR="005A63E9" w:rsidRPr="00BB0473">
        <w:rPr>
          <w:rFonts w:ascii="Times New Roman" w:hAnsi="Times New Roman" w:cs="Times New Roman"/>
          <w:color w:val="000000"/>
          <w:sz w:val="24"/>
          <w:szCs w:val="24"/>
        </w:rPr>
        <w:t xml:space="preserve"> </w:t>
      </w:r>
      <w:r w:rsidR="008E6C6B" w:rsidRPr="008E6C6B">
        <w:rPr>
          <w:rFonts w:ascii="Times New Roman" w:hAnsi="Times New Roman" w:cs="Times New Roman"/>
          <w:b/>
          <w:bCs/>
          <w:color w:val="000000"/>
          <w:sz w:val="24"/>
          <w:szCs w:val="24"/>
          <w:lang w:val="uk-UA"/>
        </w:rPr>
        <w:t>«</w:t>
      </w:r>
      <w:proofErr w:type="spellStart"/>
      <w:r w:rsidR="00D36904" w:rsidRPr="00D36904">
        <w:rPr>
          <w:rFonts w:ascii="Times New Roman" w:hAnsi="Times New Roman" w:cs="Times New Roman"/>
          <w:b/>
          <w:bCs/>
          <w:color w:val="000000"/>
          <w:sz w:val="24"/>
          <w:szCs w:val="24"/>
          <w:lang w:val="uk-UA"/>
        </w:rPr>
        <w:t>Калоприймач</w:t>
      </w:r>
      <w:proofErr w:type="spellEnd"/>
      <w:r w:rsidR="00D36904" w:rsidRPr="00D36904">
        <w:rPr>
          <w:rFonts w:ascii="Times New Roman" w:hAnsi="Times New Roman" w:cs="Times New Roman"/>
          <w:b/>
          <w:bCs/>
          <w:color w:val="000000"/>
          <w:sz w:val="24"/>
          <w:szCs w:val="24"/>
          <w:lang w:val="uk-UA"/>
        </w:rPr>
        <w:t xml:space="preserve"> </w:t>
      </w:r>
      <w:proofErr w:type="spellStart"/>
      <w:r w:rsidR="00D36904" w:rsidRPr="00D36904">
        <w:rPr>
          <w:rFonts w:ascii="Times New Roman" w:hAnsi="Times New Roman" w:cs="Times New Roman"/>
          <w:b/>
          <w:bCs/>
          <w:color w:val="000000"/>
          <w:sz w:val="24"/>
          <w:szCs w:val="24"/>
          <w:lang w:val="uk-UA"/>
        </w:rPr>
        <w:t>стомічний</w:t>
      </w:r>
      <w:proofErr w:type="spellEnd"/>
      <w:r w:rsidR="00D36904" w:rsidRPr="00D36904">
        <w:rPr>
          <w:rFonts w:ascii="Times New Roman" w:hAnsi="Times New Roman" w:cs="Times New Roman"/>
          <w:b/>
          <w:bCs/>
          <w:color w:val="000000"/>
          <w:sz w:val="24"/>
          <w:szCs w:val="24"/>
          <w:lang w:val="uk-UA"/>
        </w:rPr>
        <w:t xml:space="preserve"> однокомпонентний, 13-80 мм</w:t>
      </w:r>
      <w:r w:rsidR="00B27221">
        <w:rPr>
          <w:rFonts w:ascii="Times New Roman" w:hAnsi="Times New Roman" w:cs="Times New Roman"/>
          <w:b/>
          <w:bCs/>
          <w:color w:val="000000"/>
          <w:sz w:val="24"/>
          <w:szCs w:val="24"/>
          <w:lang w:val="uk-UA"/>
        </w:rPr>
        <w:t xml:space="preserve"> </w:t>
      </w:r>
      <w:proofErr w:type="spellStart"/>
      <w:r w:rsidR="005A63E9" w:rsidRPr="00BB0473">
        <w:rPr>
          <w:rFonts w:ascii="Times New Roman" w:hAnsi="Times New Roman" w:cs="Times New Roman"/>
          <w:color w:val="000000"/>
          <w:sz w:val="24"/>
          <w:szCs w:val="24"/>
        </w:rPr>
        <w:t>відповідно</w:t>
      </w:r>
      <w:proofErr w:type="spellEnd"/>
      <w:r w:rsidR="005A63E9" w:rsidRPr="00BB0473">
        <w:rPr>
          <w:rFonts w:ascii="Times New Roman" w:hAnsi="Times New Roman" w:cs="Times New Roman"/>
          <w:color w:val="000000"/>
          <w:sz w:val="24"/>
          <w:szCs w:val="24"/>
        </w:rPr>
        <w:t xml:space="preserve">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021:2015: </w:t>
      </w:r>
      <w:r w:rsidR="00A91FB1" w:rsidRPr="00A91FB1">
        <w:rPr>
          <w:rFonts w:ascii="Times New Roman" w:hAnsi="Times New Roman" w:cs="Times New Roman"/>
          <w:b/>
          <w:sz w:val="24"/>
          <w:szCs w:val="24"/>
          <w:lang w:val="uk-UA"/>
        </w:rPr>
        <w:t>33190000-8: Медичне обладнання та вироби медичного призначення різні</w:t>
      </w:r>
      <w:r w:rsidR="005A63E9">
        <w:rPr>
          <w:rFonts w:ascii="Times New Roman" w:eastAsia="Times New Roman" w:hAnsi="Times New Roman"/>
          <w:b/>
          <w:i/>
          <w:sz w:val="24"/>
          <w:szCs w:val="24"/>
          <w:lang w:val="uk-UA"/>
        </w:rPr>
        <w:t xml:space="preserve">; </w:t>
      </w:r>
      <w:r w:rsidR="005A63E9">
        <w:rPr>
          <w:rFonts w:ascii="Times New Roman" w:hAnsi="Times New Roman" w:cs="Times New Roman"/>
          <w:b/>
          <w:sz w:val="24"/>
          <w:szCs w:val="24"/>
        </w:rPr>
        <w:t>НК 024:20</w:t>
      </w:r>
      <w:r w:rsidR="00FC504C">
        <w:rPr>
          <w:rFonts w:ascii="Times New Roman" w:hAnsi="Times New Roman" w:cs="Times New Roman"/>
          <w:b/>
          <w:sz w:val="24"/>
          <w:szCs w:val="24"/>
          <w:lang w:val="uk-UA"/>
        </w:rPr>
        <w:t>23</w:t>
      </w:r>
      <w:r w:rsidR="005A63E9">
        <w:rPr>
          <w:rFonts w:ascii="Times New Roman" w:hAnsi="Times New Roman" w:cs="Times New Roman"/>
          <w:b/>
          <w:sz w:val="24"/>
          <w:szCs w:val="24"/>
        </w:rPr>
        <w:t xml:space="preserve">: </w:t>
      </w:r>
      <w:r w:rsidR="00A91FB1" w:rsidRPr="00A91FB1">
        <w:rPr>
          <w:rFonts w:ascii="Times New Roman" w:hAnsi="Times New Roman" w:cs="Times New Roman"/>
          <w:b/>
          <w:iCs/>
          <w:sz w:val="24"/>
          <w:szCs w:val="24"/>
          <w:lang w:val="uk-UA"/>
        </w:rPr>
        <w:t xml:space="preserve">31075 : </w:t>
      </w:r>
      <w:proofErr w:type="spellStart"/>
      <w:r w:rsidR="00A91FB1" w:rsidRPr="00A91FB1">
        <w:rPr>
          <w:rFonts w:ascii="Times New Roman" w:hAnsi="Times New Roman" w:cs="Times New Roman"/>
          <w:b/>
          <w:iCs/>
          <w:sz w:val="24"/>
          <w:szCs w:val="24"/>
          <w:lang w:val="uk-UA"/>
        </w:rPr>
        <w:t>Калоприймач</w:t>
      </w:r>
      <w:proofErr w:type="spellEnd"/>
      <w:r w:rsidR="00A91FB1" w:rsidRPr="00A91FB1">
        <w:rPr>
          <w:rFonts w:ascii="Times New Roman" w:hAnsi="Times New Roman" w:cs="Times New Roman"/>
          <w:b/>
          <w:iCs/>
          <w:sz w:val="24"/>
          <w:szCs w:val="24"/>
          <w:lang w:val="uk-UA"/>
        </w:rPr>
        <w:t xml:space="preserve"> для кишкової стоми відкритого типу, однокомпонентний</w:t>
      </w:r>
      <w:r w:rsidR="00B27221">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далі</w:t>
      </w:r>
      <w:proofErr w:type="spellEnd"/>
      <w:r w:rsidR="005A63E9" w:rsidRPr="00BB0473">
        <w:rPr>
          <w:rFonts w:ascii="Times New Roman" w:hAnsi="Times New Roman" w:cs="Times New Roman"/>
          <w:color w:val="000000"/>
          <w:sz w:val="24"/>
          <w:szCs w:val="24"/>
        </w:rPr>
        <w:t xml:space="preserve"> – Товар), а </w:t>
      </w:r>
      <w:proofErr w:type="spellStart"/>
      <w:r w:rsidR="005A63E9" w:rsidRPr="00BB0473">
        <w:rPr>
          <w:rFonts w:ascii="Times New Roman" w:hAnsi="Times New Roman" w:cs="Times New Roman"/>
          <w:color w:val="000000"/>
          <w:sz w:val="24"/>
          <w:szCs w:val="24"/>
        </w:rPr>
        <w:t>Покупець</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зобов’язується</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прийняти</w:t>
      </w:r>
      <w:proofErr w:type="spellEnd"/>
      <w:r w:rsidR="005A63E9" w:rsidRPr="00BB0473">
        <w:rPr>
          <w:rFonts w:ascii="Times New Roman" w:hAnsi="Times New Roman" w:cs="Times New Roman"/>
          <w:color w:val="000000"/>
          <w:sz w:val="24"/>
          <w:szCs w:val="24"/>
        </w:rPr>
        <w:t xml:space="preserve"> Товар і </w:t>
      </w:r>
      <w:proofErr w:type="spellStart"/>
      <w:r w:rsidR="005A63E9" w:rsidRPr="00BB0473">
        <w:rPr>
          <w:rFonts w:ascii="Times New Roman" w:hAnsi="Times New Roman" w:cs="Times New Roman"/>
          <w:color w:val="000000"/>
          <w:sz w:val="24"/>
          <w:szCs w:val="24"/>
        </w:rPr>
        <w:t>оплатити</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його</w:t>
      </w:r>
      <w:proofErr w:type="spellEnd"/>
      <w:r w:rsidR="005A63E9" w:rsidRPr="00BB0473">
        <w:rPr>
          <w:rFonts w:ascii="Times New Roman" w:hAnsi="Times New Roman" w:cs="Times New Roman"/>
          <w:color w:val="000000"/>
          <w:sz w:val="24"/>
          <w:szCs w:val="24"/>
        </w:rPr>
        <w:t xml:space="preserve"> на </w:t>
      </w:r>
      <w:proofErr w:type="spellStart"/>
      <w:r w:rsidR="005A63E9" w:rsidRPr="00BB0473">
        <w:rPr>
          <w:rFonts w:ascii="Times New Roman" w:hAnsi="Times New Roman" w:cs="Times New Roman"/>
          <w:color w:val="000000"/>
          <w:sz w:val="24"/>
          <w:szCs w:val="24"/>
        </w:rPr>
        <w:t>умовах</w:t>
      </w:r>
      <w:proofErr w:type="spellEnd"/>
      <w:r w:rsidR="00B27221">
        <w:rPr>
          <w:rFonts w:ascii="Times New Roman" w:hAnsi="Times New Roman" w:cs="Times New Roman"/>
          <w:color w:val="000000"/>
          <w:sz w:val="24"/>
          <w:szCs w:val="24"/>
          <w:lang w:val="uk-UA"/>
        </w:rPr>
        <w:t>,</w:t>
      </w:r>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визначених</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цим</w:t>
      </w:r>
      <w:proofErr w:type="spellEnd"/>
      <w:r w:rsidR="005A63E9" w:rsidRPr="00BB0473">
        <w:rPr>
          <w:rFonts w:ascii="Times New Roman" w:hAnsi="Times New Roman" w:cs="Times New Roman"/>
          <w:color w:val="000000"/>
          <w:sz w:val="24"/>
          <w:szCs w:val="24"/>
        </w:rPr>
        <w:t xml:space="preserve">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114D2670"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w:t>
      </w:r>
      <w:r w:rsidR="00C33C32">
        <w:rPr>
          <w:rFonts w:ascii="Times New Roman" w:hAnsi="Times New Roman" w:cs="Times New Roman"/>
          <w:sz w:val="24"/>
          <w:szCs w:val="24"/>
          <w:shd w:val="clear" w:color="auto" w:fill="FFFFFF"/>
        </w:rPr>
        <w:t>85</w:t>
      </w:r>
      <w:r w:rsidRPr="00BB0473">
        <w:rPr>
          <w:rFonts w:ascii="Times New Roman" w:hAnsi="Times New Roman" w:cs="Times New Roman"/>
          <w:sz w:val="24"/>
          <w:szCs w:val="24"/>
          <w:shd w:val="clear" w:color="auto" w:fill="FFFFFF"/>
        </w:rPr>
        <w:t xml:space="preserve">-100%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lastRenderedPageBreak/>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11DB5EB0"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1" w:name="o1005"/>
      <w:bookmarkStart w:id="2" w:name="o1006"/>
      <w:bookmarkEnd w:id="1"/>
      <w:bookmarkEnd w:id="2"/>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3" w:name="_Hlk51834978"/>
      <w:r w:rsidR="00D91CB9" w:rsidRPr="00D91CB9">
        <w:rPr>
          <w:rFonts w:ascii="Times New Roman" w:hAnsi="Times New Roman" w:cs="Times New Roman"/>
          <w:b/>
          <w:sz w:val="24"/>
          <w:szCs w:val="24"/>
        </w:rPr>
        <w:t>Порядок здійснення розрахунків</w:t>
      </w:r>
    </w:p>
    <w:bookmarkEnd w:id="3"/>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2EF6FA18"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 xml:space="preserve">по </w:t>
      </w:r>
      <w:r w:rsidR="00277F49">
        <w:rPr>
          <w:rFonts w:ascii="Times New Roman" w:hAnsi="Times New Roman" w:cs="Times New Roman"/>
          <w:b/>
          <w:color w:val="000000"/>
          <w:sz w:val="24"/>
          <w:szCs w:val="24"/>
          <w:shd w:val="clear" w:color="auto" w:fill="FFFFFF"/>
        </w:rPr>
        <w:t>31</w:t>
      </w:r>
      <w:r w:rsidR="009973F3" w:rsidRPr="00BB0473">
        <w:rPr>
          <w:rFonts w:ascii="Times New Roman" w:hAnsi="Times New Roman" w:cs="Times New Roman"/>
          <w:b/>
          <w:color w:val="000000"/>
          <w:sz w:val="24"/>
          <w:szCs w:val="24"/>
          <w:shd w:val="clear" w:color="auto" w:fill="FFFFFF"/>
        </w:rPr>
        <w:t xml:space="preserve"> </w:t>
      </w:r>
      <w:r w:rsidR="00277F49">
        <w:rPr>
          <w:rFonts w:ascii="Times New Roman" w:hAnsi="Times New Roman" w:cs="Times New Roman"/>
          <w:b/>
          <w:color w:val="000000"/>
          <w:sz w:val="24"/>
          <w:szCs w:val="24"/>
          <w:shd w:val="clear" w:color="auto" w:fill="FFFFFF"/>
        </w:rPr>
        <w:t>грудня</w:t>
      </w:r>
      <w:r w:rsidR="009973F3" w:rsidRPr="00BB0473">
        <w:rPr>
          <w:rFonts w:ascii="Times New Roman" w:hAnsi="Times New Roman" w:cs="Times New Roman"/>
          <w:b/>
          <w:color w:val="000000"/>
          <w:sz w:val="24"/>
          <w:szCs w:val="24"/>
          <w:shd w:val="clear" w:color="auto" w:fill="FFFFFF"/>
        </w:rPr>
        <w:t xml:space="preserve"> 202</w:t>
      </w:r>
      <w:r w:rsidR="00EC16E9">
        <w:rPr>
          <w:rFonts w:ascii="Times New Roman" w:hAnsi="Times New Roman" w:cs="Times New Roman"/>
          <w:b/>
          <w:color w:val="000000"/>
          <w:sz w:val="24"/>
          <w:szCs w:val="24"/>
          <w:shd w:val="clear" w:color="auto" w:fill="FFFFFF"/>
        </w:rPr>
        <w:t>4</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43E90C50"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w:t>
      </w:r>
      <w:r w:rsidR="009973F3" w:rsidRPr="00BB0473">
        <w:rPr>
          <w:color w:val="000000"/>
          <w:shd w:val="clear" w:color="auto" w:fill="FFFFFF"/>
          <w:lang w:val="uk-UA"/>
        </w:rPr>
        <w:lastRenderedPageBreak/>
        <w:t xml:space="preserve">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будь-яким способом за погодженням Сторін (письмовим листом, електронною поштою, телефоном, телефаксом тощо). Постачальник зобов’язаний протягом наступних 3-х днів, що слідують за днем отримання заявки-замовлення прийняти її до виконання та проінформувати про це Покупця листом на електронну пошту: </w:t>
      </w:r>
      <w:proofErr w:type="spellStart"/>
      <w:r w:rsidR="009973F3">
        <w:rPr>
          <w:color w:val="000000"/>
          <w:lang w:val="en-US"/>
        </w:rPr>
        <w:t>puzenk</w:t>
      </w:r>
      <w:proofErr w:type="spellEnd"/>
      <w:r w:rsidR="009973F3" w:rsidRPr="00190ECB">
        <w:rPr>
          <w:color w:val="000000"/>
        </w:rPr>
        <w:t>@</w:t>
      </w:r>
      <w:proofErr w:type="spellStart"/>
      <w:r w:rsidR="009973F3" w:rsidRPr="00D345AF">
        <w:rPr>
          <w:color w:val="000000"/>
          <w:lang w:val="en-US"/>
        </w:rPr>
        <w:t>ukr</w:t>
      </w:r>
      <w:proofErr w:type="spellEnd"/>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ІІ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lastRenderedPageBreak/>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Pr="00D91CB9" w:rsidRDefault="000B0216"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4" w:name="89"/>
      <w:bookmarkEnd w:id="4"/>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5" w:name="90"/>
      <w:bookmarkEnd w:id="5"/>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6" w:name="91"/>
      <w:bookmarkEnd w:id="6"/>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7" w:name="94"/>
      <w:bookmarkEnd w:id="7"/>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8" w:name="95"/>
      <w:bookmarkEnd w:id="8"/>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9" w:name="96"/>
      <w:bookmarkEnd w:id="9"/>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6521250C"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w:t>
      </w:r>
      <w:r w:rsidR="00277F49">
        <w:rPr>
          <w:rFonts w:ascii="Times New Roman" w:eastAsia="Times New Roman" w:hAnsi="Times New Roman" w:cs="Times New Roman"/>
          <w:b/>
          <w:sz w:val="24"/>
          <w:szCs w:val="24"/>
          <w:lang w:eastAsia="ru-RU"/>
        </w:rPr>
        <w:t>12</w:t>
      </w:r>
      <w:r w:rsidRPr="00D91CB9">
        <w:rPr>
          <w:rFonts w:ascii="Times New Roman" w:eastAsia="Times New Roman" w:hAnsi="Times New Roman" w:cs="Times New Roman"/>
          <w:b/>
          <w:sz w:val="24"/>
          <w:szCs w:val="24"/>
          <w:lang w:eastAsia="ru-RU"/>
        </w:rPr>
        <w:t>.202</w:t>
      </w:r>
      <w:r w:rsidR="00EC16E9">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коливанню ціни такого товару на ринку </w:t>
      </w:r>
      <w:r w:rsidRPr="00C806C3">
        <w:rPr>
          <w:rFonts w:ascii="Times New Roman" w:hAnsi="Times New Roman" w:cs="Times New Roman"/>
          <w:sz w:val="24"/>
          <w:szCs w:val="24"/>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538A4B52"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w:t>
      </w:r>
      <w:proofErr w:type="spellStart"/>
      <w:r w:rsidR="00C806C3" w:rsidRPr="008B5B78">
        <w:rPr>
          <w:rFonts w:ascii="Times New Roman" w:hAnsi="Times New Roman" w:cs="Times New Roman"/>
          <w:sz w:val="24"/>
          <w:szCs w:val="24"/>
        </w:rPr>
        <w:t>закупівель</w:t>
      </w:r>
      <w:proofErr w:type="spellEnd"/>
      <w:r w:rsidR="00C806C3"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670D296F"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w:t>
      </w:r>
      <w:r w:rsidR="00E801C6">
        <w:rPr>
          <w:rFonts w:ascii="Times New Roman" w:hAnsi="Times New Roman" w:cs="Times New Roman"/>
          <w:sz w:val="24"/>
          <w:szCs w:val="24"/>
        </w:rPr>
        <w:t xml:space="preserve"> </w:t>
      </w:r>
      <w:r w:rsidR="00E801C6">
        <w:rPr>
          <w:rFonts w:ascii="Times New Roman" w:hAnsi="Times New Roman" w:cs="Times New Roman"/>
          <w:sz w:val="24"/>
          <w:szCs w:val="24"/>
          <w:u w:val="single"/>
        </w:rPr>
        <w:t xml:space="preserve"> 7 </w:t>
      </w:r>
      <w:r w:rsidRPr="00BB0473">
        <w:rPr>
          <w:rFonts w:ascii="Times New Roman" w:hAnsi="Times New Roman" w:cs="Times New Roman"/>
          <w:sz w:val="24"/>
          <w:szCs w:val="24"/>
        </w:rPr>
        <w:t xml:space="preserve">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w:t>
      </w:r>
      <w:r w:rsidRPr="00BB0473">
        <w:rPr>
          <w:rFonts w:ascii="Times New Roman" w:hAnsi="Times New Roman" w:cs="Times New Roman"/>
          <w:sz w:val="24"/>
          <w:szCs w:val="24"/>
        </w:rPr>
        <w:lastRenderedPageBreak/>
        <w:t>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8E2C73" w14:textId="64D94683"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hyperlink r:id="rId8"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393BE97B"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_________________В</w:t>
            </w:r>
            <w:r w:rsidR="007C6375">
              <w:rPr>
                <w:rFonts w:ascii="Times New Roman" w:hAnsi="Times New Roman" w:cs="Times New Roman"/>
                <w:b/>
                <w:bCs/>
                <w:sz w:val="24"/>
                <w:szCs w:val="24"/>
                <w:lang w:val="ru-RU"/>
              </w:rPr>
              <w:t>ячеслав КРАСНОЩОК</w:t>
            </w:r>
            <w:r w:rsidRPr="00653EF1">
              <w:rPr>
                <w:rFonts w:ascii="Times New Roman" w:hAnsi="Times New Roman" w:cs="Times New Roman"/>
                <w:b/>
                <w:bCs/>
                <w:sz w:val="24"/>
                <w:szCs w:val="24"/>
                <w:lang w:val="ru-RU"/>
              </w:rPr>
              <w:t xml:space="preserve">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47F3B629"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007C6375">
        <w:rPr>
          <w:rFonts w:ascii="Times New Roman" w:hAnsi="Times New Roman" w:cs="Times New Roman"/>
          <w:b/>
          <w:sz w:val="23"/>
          <w:szCs w:val="23"/>
        </w:rPr>
        <w:t>24</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1</w:t>
            </w:r>
          </w:p>
        </w:tc>
        <w:tc>
          <w:tcPr>
            <w:tcW w:w="1842" w:type="dxa"/>
          </w:tcPr>
          <w:p w14:paraId="32546600" w14:textId="1CE79541" w:rsidR="00146A1D" w:rsidRPr="00F1272A" w:rsidRDefault="00146A1D" w:rsidP="00BF54A2">
            <w:pPr>
              <w:rPr>
                <w:rFonts w:ascii="Times New Roman" w:hAnsi="Times New Roman" w:cs="Times New Roman"/>
                <w:b/>
                <w:color w:val="000000"/>
                <w:sz w:val="24"/>
                <w:szCs w:val="24"/>
                <w:shd w:val="clear" w:color="auto" w:fill="EFEFEF"/>
              </w:rPr>
            </w:pPr>
          </w:p>
        </w:tc>
        <w:tc>
          <w:tcPr>
            <w:tcW w:w="993" w:type="dxa"/>
          </w:tcPr>
          <w:p w14:paraId="6AD9E1C4" w14:textId="566FDFBF" w:rsidR="00146A1D" w:rsidRPr="00FF378D" w:rsidRDefault="00146A1D" w:rsidP="00BF54A2">
            <w:pPr>
              <w:jc w:val="center"/>
              <w:rPr>
                <w:rFonts w:ascii="Times New Roman" w:hAnsi="Times New Roman" w:cs="Times New Roman"/>
                <w:sz w:val="24"/>
                <w:szCs w:val="24"/>
              </w:rPr>
            </w:pPr>
          </w:p>
        </w:tc>
        <w:tc>
          <w:tcPr>
            <w:tcW w:w="992" w:type="dxa"/>
          </w:tcPr>
          <w:p w14:paraId="43B71F41" w14:textId="1459DC94" w:rsidR="00146A1D" w:rsidRPr="00FF378D" w:rsidRDefault="00146A1D" w:rsidP="00BF54A2">
            <w:pPr>
              <w:jc w:val="center"/>
              <w:rPr>
                <w:rFonts w:ascii="Times New Roman" w:hAnsi="Times New Roman" w:cs="Times New Roman"/>
                <w:sz w:val="24"/>
                <w:szCs w:val="24"/>
              </w:rPr>
            </w:pP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В </w:t>
      </w:r>
      <w:proofErr w:type="spellStart"/>
      <w:r w:rsidRPr="000C4F3D">
        <w:rPr>
          <w:rFonts w:ascii="Times New Roman" w:hAnsi="Times New Roman" w:cs="Times New Roman"/>
          <w:sz w:val="24"/>
          <w:szCs w:val="24"/>
        </w:rPr>
        <w:t>т.ч</w:t>
      </w:r>
      <w:proofErr w:type="spellEnd"/>
      <w:r w:rsidRPr="000C4F3D">
        <w:rPr>
          <w:rFonts w:ascii="Times New Roman" w:hAnsi="Times New Roman" w:cs="Times New Roman"/>
          <w:sz w:val="24"/>
          <w:szCs w:val="24"/>
        </w:rPr>
        <w:t>.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65A5BCE5" w14:textId="1667ED2B"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10" w:name="_Hlk108094071"/>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bookmarkEnd w:id="10"/>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31AA6CA3"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__________________В</w:t>
            </w:r>
            <w:r w:rsidR="00573434">
              <w:rPr>
                <w:rFonts w:ascii="Times New Roman" w:hAnsi="Times New Roman" w:cs="Times New Roman"/>
                <w:b/>
                <w:bCs/>
                <w:sz w:val="24"/>
                <w:szCs w:val="24"/>
                <w:lang w:val="ru-RU"/>
              </w:rPr>
              <w:t>ячеслав КРАСНОЩОК</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72168885" w:rsidR="00E90EE0" w:rsidRDefault="00E90EE0" w:rsidP="00F1272A">
      <w:pPr>
        <w:pStyle w:val="af0"/>
        <w:shd w:val="clear" w:color="auto" w:fill="FFFFFF"/>
        <w:spacing w:before="0" w:beforeAutospacing="0" w:after="150" w:afterAutospacing="0"/>
        <w:rPr>
          <w:rStyle w:val="af2"/>
          <w:b/>
          <w:bCs/>
          <w:color w:val="23262B"/>
          <w:sz w:val="20"/>
          <w:szCs w:val="20"/>
        </w:rPr>
      </w:pPr>
    </w:p>
    <w:p w14:paraId="65805851" w14:textId="07C8FAF7" w:rsidR="00573434" w:rsidRDefault="00573434" w:rsidP="00F1272A">
      <w:pPr>
        <w:pStyle w:val="af0"/>
        <w:shd w:val="clear" w:color="auto" w:fill="FFFFFF"/>
        <w:spacing w:before="0" w:beforeAutospacing="0" w:after="150" w:afterAutospacing="0"/>
        <w:rPr>
          <w:rStyle w:val="af2"/>
          <w:b/>
          <w:bCs/>
          <w:color w:val="23262B"/>
          <w:sz w:val="20"/>
          <w:szCs w:val="20"/>
        </w:rPr>
      </w:pPr>
    </w:p>
    <w:p w14:paraId="4450798C" w14:textId="77777777" w:rsidR="00573434" w:rsidRDefault="00573434" w:rsidP="00F1272A">
      <w:pPr>
        <w:pStyle w:val="af0"/>
        <w:shd w:val="clear" w:color="auto" w:fill="FFFFFF"/>
        <w:spacing w:before="0" w:beforeAutospacing="0" w:after="150" w:afterAutospacing="0"/>
        <w:rPr>
          <w:rStyle w:val="af2"/>
          <w:b/>
          <w:bCs/>
          <w:color w:val="23262B"/>
          <w:sz w:val="20"/>
          <w:szCs w:val="20"/>
        </w:rPr>
      </w:pPr>
    </w:p>
    <w:p w14:paraId="6C9E174D" w14:textId="77777777" w:rsidR="00B27221" w:rsidRDefault="00B27221" w:rsidP="00F1272A">
      <w:pPr>
        <w:pStyle w:val="af0"/>
        <w:shd w:val="clear" w:color="auto" w:fill="FFFFFF"/>
        <w:spacing w:before="0" w:beforeAutospacing="0" w:after="150" w:afterAutospacing="0"/>
        <w:rPr>
          <w:rStyle w:val="af2"/>
          <w:b/>
          <w:bCs/>
          <w:color w:val="23262B"/>
          <w:sz w:val="20"/>
          <w:szCs w:val="20"/>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6E1838FD" w14:textId="55EE9F53" w:rsidR="00A61BCB" w:rsidRPr="00216710" w:rsidRDefault="00EC0010" w:rsidP="00BB0473">
      <w:pPr>
        <w:pStyle w:val="af0"/>
        <w:shd w:val="clear" w:color="auto" w:fill="FFFFFF"/>
        <w:spacing w:before="0" w:beforeAutospacing="0" w:after="150" w:afterAutospacing="0"/>
        <w:ind w:left="720"/>
        <w:rPr>
          <w:color w:val="000000"/>
        </w:rPr>
      </w:pPr>
      <w:r>
        <w:rPr>
          <w:color w:val="000000"/>
        </w:rPr>
        <w:t xml:space="preserve"> </w:t>
      </w:r>
      <w:r w:rsidR="00F375E5">
        <w:rPr>
          <w:color w:val="000000"/>
        </w:rPr>
        <w:t xml:space="preserve"> </w:t>
      </w:r>
    </w:p>
    <w:sectPr w:rsidR="00A61BCB" w:rsidRPr="00216710" w:rsidSect="009375D2">
      <w:headerReference w:type="default" r:id="rId9"/>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3932" w14:textId="77777777" w:rsidR="00940743" w:rsidRDefault="00940743" w:rsidP="006F472E">
      <w:r>
        <w:separator/>
      </w:r>
    </w:p>
  </w:endnote>
  <w:endnote w:type="continuationSeparator" w:id="0">
    <w:p w14:paraId="22F8BC79" w14:textId="77777777" w:rsidR="00940743" w:rsidRDefault="00940743"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4BDC" w14:textId="77777777" w:rsidR="00940743" w:rsidRDefault="00940743" w:rsidP="006F472E">
      <w:r>
        <w:separator/>
      </w:r>
    </w:p>
  </w:footnote>
  <w:footnote w:type="continuationSeparator" w:id="0">
    <w:p w14:paraId="14CC8DC9" w14:textId="77777777" w:rsidR="00940743" w:rsidRDefault="00940743"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9"/>
  </w:num>
  <w:num w:numId="10">
    <w:abstractNumId w:val="8"/>
  </w:num>
  <w:num w:numId="11">
    <w:abstractNumId w:val="1"/>
  </w:num>
  <w:num w:numId="12">
    <w:abstractNumId w:val="0"/>
  </w:num>
  <w:num w:numId="13">
    <w:abstractNumId w:val="3"/>
  </w:num>
  <w:num w:numId="14">
    <w:abstractNumId w:val="13"/>
  </w:num>
  <w:num w:numId="15">
    <w:abstractNumId w:val="17"/>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2419"/>
    <w:rsid w:val="001770DF"/>
    <w:rsid w:val="00180B36"/>
    <w:rsid w:val="001832C7"/>
    <w:rsid w:val="00185A43"/>
    <w:rsid w:val="00190ECB"/>
    <w:rsid w:val="00196324"/>
    <w:rsid w:val="001A081D"/>
    <w:rsid w:val="001A36ED"/>
    <w:rsid w:val="001C3FD8"/>
    <w:rsid w:val="001C4AAD"/>
    <w:rsid w:val="001C4CC2"/>
    <w:rsid w:val="001D0ED2"/>
    <w:rsid w:val="001D1022"/>
    <w:rsid w:val="001D60A5"/>
    <w:rsid w:val="001E17CE"/>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1D0"/>
    <w:rsid w:val="002775B3"/>
    <w:rsid w:val="00277F49"/>
    <w:rsid w:val="00283CDA"/>
    <w:rsid w:val="0029149E"/>
    <w:rsid w:val="00294019"/>
    <w:rsid w:val="00295DFF"/>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64FC8"/>
    <w:rsid w:val="00374224"/>
    <w:rsid w:val="0038718B"/>
    <w:rsid w:val="00390846"/>
    <w:rsid w:val="0039686D"/>
    <w:rsid w:val="003A0C0C"/>
    <w:rsid w:val="003A4ACB"/>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3434"/>
    <w:rsid w:val="005773C7"/>
    <w:rsid w:val="0058117B"/>
    <w:rsid w:val="005831FF"/>
    <w:rsid w:val="00583CDC"/>
    <w:rsid w:val="00591B52"/>
    <w:rsid w:val="00595054"/>
    <w:rsid w:val="005A279E"/>
    <w:rsid w:val="005A58C1"/>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1A23"/>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C6375"/>
    <w:rsid w:val="007D0B4F"/>
    <w:rsid w:val="007D2A46"/>
    <w:rsid w:val="007E2179"/>
    <w:rsid w:val="007E3541"/>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D55A4"/>
    <w:rsid w:val="008E468C"/>
    <w:rsid w:val="008E6C6B"/>
    <w:rsid w:val="008F13D3"/>
    <w:rsid w:val="009001A1"/>
    <w:rsid w:val="00907875"/>
    <w:rsid w:val="00911B7E"/>
    <w:rsid w:val="00913B30"/>
    <w:rsid w:val="00913D44"/>
    <w:rsid w:val="00933F11"/>
    <w:rsid w:val="00936DEB"/>
    <w:rsid w:val="009375D2"/>
    <w:rsid w:val="00937AEB"/>
    <w:rsid w:val="00940743"/>
    <w:rsid w:val="00946E9E"/>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5DF7"/>
    <w:rsid w:val="00A40A7A"/>
    <w:rsid w:val="00A4361D"/>
    <w:rsid w:val="00A474A0"/>
    <w:rsid w:val="00A51196"/>
    <w:rsid w:val="00A5399A"/>
    <w:rsid w:val="00A61BCB"/>
    <w:rsid w:val="00A64BAE"/>
    <w:rsid w:val="00A91991"/>
    <w:rsid w:val="00A91FB1"/>
    <w:rsid w:val="00A9498E"/>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04A2F"/>
    <w:rsid w:val="00C04E9E"/>
    <w:rsid w:val="00C10B8E"/>
    <w:rsid w:val="00C118BF"/>
    <w:rsid w:val="00C159D9"/>
    <w:rsid w:val="00C221DF"/>
    <w:rsid w:val="00C23A1D"/>
    <w:rsid w:val="00C33C32"/>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D28"/>
    <w:rsid w:val="00D01F1C"/>
    <w:rsid w:val="00D04201"/>
    <w:rsid w:val="00D14111"/>
    <w:rsid w:val="00D14DC1"/>
    <w:rsid w:val="00D22B4E"/>
    <w:rsid w:val="00D345AF"/>
    <w:rsid w:val="00D36904"/>
    <w:rsid w:val="00D40F38"/>
    <w:rsid w:val="00D43273"/>
    <w:rsid w:val="00D46DEB"/>
    <w:rsid w:val="00D4761B"/>
    <w:rsid w:val="00D55596"/>
    <w:rsid w:val="00D55BD0"/>
    <w:rsid w:val="00D64A84"/>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801C6"/>
    <w:rsid w:val="00E90EE0"/>
    <w:rsid w:val="00E91933"/>
    <w:rsid w:val="00E94563"/>
    <w:rsid w:val="00EA0B1D"/>
    <w:rsid w:val="00EB52C7"/>
    <w:rsid w:val="00EB7526"/>
    <w:rsid w:val="00EC0010"/>
    <w:rsid w:val="00EC11D2"/>
    <w:rsid w:val="00EC16E9"/>
    <w:rsid w:val="00EC274F"/>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364F"/>
    <w:rsid w:val="00FB0F03"/>
    <w:rsid w:val="00FB101F"/>
    <w:rsid w:val="00FB3CE5"/>
    <w:rsid w:val="00FB5D47"/>
    <w:rsid w:val="00FC504C"/>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y_cpmsd2@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8</Pages>
  <Words>3118</Words>
  <Characters>17775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42</cp:revision>
  <cp:lastPrinted>2020-12-28T10:16:00Z</cp:lastPrinted>
  <dcterms:created xsi:type="dcterms:W3CDTF">2021-11-23T09:20:00Z</dcterms:created>
  <dcterms:modified xsi:type="dcterms:W3CDTF">2024-03-11T12:46:00Z</dcterms:modified>
</cp:coreProperties>
</file>