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7D" w:rsidRPr="00EE317D" w:rsidRDefault="00EE317D" w:rsidP="00EE317D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EE317D" w:rsidRPr="00EE317D" w:rsidRDefault="00EE317D" w:rsidP="00EE31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</w:pPr>
    </w:p>
    <w:p w:rsidR="00EE317D" w:rsidRPr="00EE317D" w:rsidRDefault="00EE317D" w:rsidP="00EE31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</w:pPr>
      <w:proofErr w:type="spellStart"/>
      <w:r w:rsidRPr="00EE317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  <w:t>Проєкт</w:t>
      </w:r>
      <w:proofErr w:type="spellEnd"/>
      <w:r w:rsidRPr="00EE317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ar-SA"/>
        </w:rPr>
        <w:t xml:space="preserve"> договору про закупівлю</w:t>
      </w:r>
    </w:p>
    <w:p w:rsidR="00EE317D" w:rsidRPr="00EE317D" w:rsidRDefault="00EE317D" w:rsidP="00EE317D">
      <w:pPr>
        <w:contextualSpacing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смт. Міжгір’я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«___» ____________________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року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Комунальне некомерційне підприємство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Міжгірський</w:t>
      </w:r>
      <w:proofErr w:type="spellEnd"/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центр первинної м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едико-санітарної допомоги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Міжгірської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селищної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ради Закарпатської області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»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,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 особі головного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лікаря</w:t>
      </w:r>
      <w:r w:rsidRPr="00EE317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який діє на підставі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Статуту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(далі -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Замовник)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з одн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ієї сторони, і 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      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 в особі _____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     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___________, що діє на підставі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___________ (далі –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Постачальник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), з іншої сторони, разом –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Сторони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уклали цей Договір про таке (далі –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Договір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І. Предмет договору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строки,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поставити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Замовникові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пунктом 1.2.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товар),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прийняти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оплатити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товар.</w:t>
      </w:r>
    </w:p>
    <w:p w:rsidR="00EE317D" w:rsidRPr="00EE317D" w:rsidRDefault="00EE317D" w:rsidP="00EE317D">
      <w:pPr>
        <w:spacing w:after="0" w:line="240" w:lineRule="auto"/>
        <w:jc w:val="both"/>
        <w:rPr>
          <w:rFonts w:ascii="Calibri" w:eastAsia="Calibri" w:hAnsi="Calibri" w:cs="Times New Roman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1.2. Найменування (номенклатура, асортимент), кількість товару: </w:t>
      </w:r>
      <w:proofErr w:type="spellStart"/>
      <w:r w:rsidR="00225995" w:rsidRPr="00225995">
        <w:rPr>
          <w:rFonts w:ascii="Times New Roman" w:hAnsi="Times New Roman"/>
          <w:bCs/>
          <w:sz w:val="24"/>
          <w:szCs w:val="24"/>
          <w:lang w:val="uk-UA" w:eastAsia="ru-RU"/>
        </w:rPr>
        <w:t>Біолік</w:t>
      </w:r>
      <w:proofErr w:type="spellEnd"/>
      <w:r w:rsidR="00225995" w:rsidRPr="00225995">
        <w:rPr>
          <w:rFonts w:ascii="Times New Roman" w:hAnsi="Times New Roman"/>
          <w:bCs/>
          <w:sz w:val="24"/>
          <w:szCs w:val="24"/>
          <w:lang w:val="uk-UA" w:eastAsia="ru-RU"/>
        </w:rPr>
        <w:t xml:space="preserve"> Туберкулін ППД-Л розчин для ін’єкцій, комплект: 1 ампула по 0,6 мл (6 доз) з активністю </w:t>
      </w:r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 xml:space="preserve">2 ТО/доза, 3 </w:t>
      </w:r>
      <w:proofErr w:type="spellStart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>шприци</w:t>
      </w:r>
      <w:proofErr w:type="spellEnd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>голками</w:t>
      </w:r>
      <w:proofErr w:type="spellEnd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 xml:space="preserve"> для </w:t>
      </w:r>
      <w:proofErr w:type="spellStart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>витягання</w:t>
      </w:r>
      <w:proofErr w:type="spellEnd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 xml:space="preserve">, 3 </w:t>
      </w:r>
      <w:proofErr w:type="spellStart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>голки</w:t>
      </w:r>
      <w:proofErr w:type="spellEnd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 xml:space="preserve"> для </w:t>
      </w:r>
      <w:proofErr w:type="spellStart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>введення</w:t>
      </w:r>
      <w:proofErr w:type="spellEnd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 xml:space="preserve"> (МНН: </w:t>
      </w:r>
      <w:proofErr w:type="spellStart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>Тuberculin</w:t>
      </w:r>
      <w:proofErr w:type="spellEnd"/>
      <w:r w:rsidR="00225995" w:rsidRPr="00363CDA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F839B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 кодом </w:t>
      </w:r>
      <w:r w:rsidR="00131F3C" w:rsidRPr="00131F3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ДК 021:2015: 33600000-6 Фармацевтична продукція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. Кількість товарів – </w:t>
      </w:r>
      <w:r w:rsidR="0022599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30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22599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комплектів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(згідно специфікації).</w:t>
      </w:r>
    </w:p>
    <w:p w:rsidR="00EE317D" w:rsidRPr="00EE317D" w:rsidRDefault="00EE317D" w:rsidP="00EE3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1.3. Обсяги закупівлі товарів можуть бути зменшені залежно від реального фінансування видатків шляхом підписання додаткової Угоди.</w:t>
      </w:r>
    </w:p>
    <w:p w:rsidR="00EE317D" w:rsidRPr="00EE317D" w:rsidRDefault="00EE317D" w:rsidP="00EE3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товару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гарантує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Товар,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рівню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нормам і стандартам,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законодавчо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території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Товар повинен бути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зареєстрований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порядку. Товар,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необхідні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сертифікати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реєстраційні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посвідчення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свідоцтва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інструкції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затверджені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супроводжуватися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документами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кількості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придатності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виробника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більш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низької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ніж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вимагається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стандартом,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умовами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зразком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еталоном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відмовитися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прийняття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оплати товару,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оплачено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вимагати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повернення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сплаченої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Строк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придатності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на момент поставки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становити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менше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80%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інструкцією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окремої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позиції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придатності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виявиться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дефектним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умовам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дефектний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більше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порушені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товару.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витрати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із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Пакування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відвантажується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товар,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повинні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характеру товару.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цілісність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перевезення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відвантаження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товару.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покращуватись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призведе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Ціна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договору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3.1.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Ціна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становить _________________________,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вказати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цифрами та словами) у тому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числі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ПДВ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/без ПДВ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______________________________________________.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Ціна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включає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вартість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ПДВ,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витрати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транспортування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тому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числі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доставку до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місць призначення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завантаження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розвантаження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разі необхідності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сплату податків і зборів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(обов’язкових платежів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тощо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взаємною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згодою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ІV. Порядок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здійснення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оплати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Оплата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лише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фактично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отриманий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підставі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належним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чином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рахунку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видаткової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накладної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4.2.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 протягом 10 банківських днів від дати отримання видаткової накладної.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Оплата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здійсненою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зарахування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грошових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поточний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рахунок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виписуватись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рахунок та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видаткова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накладна.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залишає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собою право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залежності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фактичного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поточний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бюджетний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рік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без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нарахування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штрафних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санкцій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V. Поставка товару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Строк поставки товару – з моменту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до </w:t>
      </w:r>
      <w:r w:rsidR="00131F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30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="00131F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06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.20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23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товару: 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00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Закарпатська</w:t>
      </w:r>
      <w:proofErr w:type="spellEnd"/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обл., </w:t>
      </w:r>
      <w:r w:rsidR="00F839B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Хустсь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кий район,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с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Міжгір’я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вул. Возз’єднання, 4</w:t>
      </w: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 моменту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ризик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випадкової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втрати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пошкодження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5.4. Датою поставки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вищевказаного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видатковими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накладними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 Передача товару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присутності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представників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наступним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чином: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товар,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технічну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документацію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Інструкцію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експлуатації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викладену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копію декларації або копію документів, що підтверджують можливість  введення в обіг та/або експлуатацію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медичного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виробу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проходження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оцінки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вимог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технічного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регламенту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5.5.2.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Після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5.5.1,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приймає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повній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комплектації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5.6.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порушення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саме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несвоєчасної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оплати товару за договором,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переглянути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строків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VI. Права та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обов’язки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сторін</w:t>
      </w:r>
      <w:proofErr w:type="spellEnd"/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Замовник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Своєчасно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сплачувати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розділу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ІV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Договору;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Приймати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видатковими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накладними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та документами,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підтверджують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вимог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чинного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актів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розірвати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Постачальником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повідомивши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останнього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тижневий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Контролювати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поставку товару у строки,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6.2.3.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загальну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вартість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залежно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реального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 такому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Сторони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вносять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6.2.4.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Повернути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рахунок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Постачальнику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оплати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відсутність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печатки,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тощо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поставку товару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місця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строки,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поставку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умовам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розділом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6.3.3. При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ознайомити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правилами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умовами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ефективного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безпечного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продемонструвавши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безпечне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6.3.4.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невідповідності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супровідним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виявлення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некомплектності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власний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рахунок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усунути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недоліки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більше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(десяти)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Своєчасно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отримувати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плату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6.4.2.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поставку товару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письмовим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погодженням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6.4.3.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розірвати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повідомивши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тижневий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6.4.4.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порушення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саме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несвоєчасної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оплати товару за договором,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переглянути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строків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VIІ.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Відповідальність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сторін</w:t>
      </w:r>
      <w:proofErr w:type="spellEnd"/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7.1.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своїх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Договором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Сторони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несуть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законами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несвоєчасного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бюджетні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кошти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сплачує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штраф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розмірі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20%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вартості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7.3.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виявлення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вимагати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своїм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вибором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пропорційного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безоплатного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усунення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недоліків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(десяти)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відшкодування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витрат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усунення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недоліків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товару;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відмовитися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договору;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вимагати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товару;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товар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більше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(десяти)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Підставою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усунення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недоліків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spacing w:after="12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ІІ. Форс-мажорні обставини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8.1. Сторони звільняються від відповідальності за часткове або повне невиконання зобов’язань за цим Договором, якщо це невиконання є наслідком непереборної сили (форс-мажорних обставин).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8.2. Під форс-мажорними обставинами розуміють надзвичайні та невідворотні обставини, що об’єктивно унеможливлюють виконання зобов’язань, передбачених умовами цього Договору, та підтверджених відповідним державним компетентним органом.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8.3.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відкладається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 строк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мажорних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Сторони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негайно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форс-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мажорні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протягом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чотирнадцяти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днів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їх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надати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підтверджуючі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їх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настання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сертифікат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ТПП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регіональної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ТПП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іншого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8.5.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мажорних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є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підставою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Споживача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сплати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поставлену продукцію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була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надана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їх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І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X</w:t>
      </w: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. Вирішення спорів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9.2.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недосягнення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згоди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спори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розбіжності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вирішуються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 судовому порядку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X. Строк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дії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договору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10.1.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набирає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чинності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діє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31.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12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23 р.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частині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поставки товару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розрахунків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 остаточного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Сторонами умов договору.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10.2.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підписується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двох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мають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однакову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юридичну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10.3.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Договір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розірваний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згодою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рішенням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суду;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рішенням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10.4.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відмовитись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випадку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виявлення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Виконавцем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неналежної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п.6.3 Договору.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XІ.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Інші</w:t>
      </w:r>
      <w:proofErr w:type="spellEnd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умови</w:t>
      </w:r>
      <w:proofErr w:type="spellEnd"/>
    </w:p>
    <w:p w:rsidR="00EE317D" w:rsidRPr="00EE317D" w:rsidRDefault="00EE317D" w:rsidP="00EE3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E31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11.1 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9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зокрема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видатків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одиницю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товару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 ринку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відбулося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укладення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внесення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частині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одиницю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одиницю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коливанню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товару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 ринку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відсоток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одиницю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відсоток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призвести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укладення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призведе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дії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передачі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надання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послуг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підтверджених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числі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сили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затримки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витрат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суми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кількості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обсягу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товарів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робіт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послуг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зв’язку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податків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зборів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щодо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надання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пільг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таких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ставок та/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пільг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також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зв’язку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системи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внаслідок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системи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із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державної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індексу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споживчих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іноземної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валюти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біржових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Platts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тарифів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 ринку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добу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разі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договорі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E317D" w:rsidRPr="00EE317D" w:rsidRDefault="00EE317D" w:rsidP="00EE317D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зв’язку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із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положень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частини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шостої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статті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41 Закону.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11.2. Зміни та доповнення до цього Договору мають юридичну силу за умов, якщо вони оформлені письмово, зареєстровані і підписані уповноваженими представниками Сторін, скріплені печатками, а у разі їх відсутності власним підписом керівників.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11.3.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терміни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Сторони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сповіщають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одна одну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поштової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юридичної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адреси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банківських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Взаємовідносини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регулюються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чинним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Інші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такі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є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істотними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можуть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доповнені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виключені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взаємною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письмовою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згодою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 порядку</w:t>
      </w:r>
      <w:proofErr w:type="gram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передбаченому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чинним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Після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всі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попередні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переговори за ним,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листування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попередні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угоди та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наміри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питань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чи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інакше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втрачають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юридичну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силу.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доповнення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додатки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даного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дострокове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будуть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дійсні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умові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якщо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здійснені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письмовій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формі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підписані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це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обох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Сторін</w:t>
      </w:r>
      <w:proofErr w:type="spellEnd"/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17D" w:rsidRPr="00EE317D" w:rsidRDefault="00EE317D" w:rsidP="00EE317D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sz w:val="24"/>
          <w:szCs w:val="24"/>
          <w:lang w:val="uk-UA"/>
        </w:rPr>
        <w:t>Всі додатки та додаткові угоди, що підписані сторонами у зв’язку із виконанням цього Договору є його невід’ємною частиною, набирають юридичної сили з моменту їх підписання та діють протягом строку дії цього Договору.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11.7.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11.8. Сторони погодилися, що даний договір, будь-які матеріали, інформація та відомості, що стосуються даного Договору, є конфіденційними і не можуть передаватися (розголошуватися) третім особам без попередньої письмової згоди іншої Сторони даного договору, крім випадків, коли така передача (розголошення) пов’язане з одержанням офіційних дозволів, документів для виконання даного договору або сплати податків, інших обов’язкових платежів, а також у випадках, передбачених чинним законодавством України. 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11.9. Сторони несуть відповідальність за правильність вказаних ними в даному Договорі реквізитів та зобов’язуються вчасно та у розумні строки повідомляти іншу Сторону про їх заміну у письмовій формі.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11.10. Відповідно до Закону України «Про захист персональних даних» «Постачальник» надає «Замовнику» на обробку своїх особистих персональних даних з метою забезпечення реалізації адміністративно-правових, податкових відносин, відносин у сфері бухгалтерського обліку за допомогою спеціалізованого програмного забезпечення відповідно до Закону України «Про захист персональних даних», Податкового кодексу України, правил роботи архівних підрозділів, органів державної влади, місцевого самоврядування, підприємств, установ і організацій, затверджених Наказом Державного комітету архівів України від 16.03.2001 р. № 16.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ХІІ. Додатки до договору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12.1. Невід’ємною частиною цього договору є: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Додаток № 1 «Специфікація».</w:t>
      </w: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ХІІІ. Місцезнаходження та банківські реквізити сторін</w:t>
      </w:r>
    </w:p>
    <w:tbl>
      <w:tblPr>
        <w:tblpPr w:leftFromText="180" w:rightFromText="180" w:vertAnchor="text" w:horzAnchor="margin" w:tblpY="51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19"/>
      </w:tblGrid>
      <w:tr w:rsidR="00EE317D" w:rsidRPr="00EE317D" w:rsidTr="00D31530">
        <w:trPr>
          <w:trHeight w:val="762"/>
        </w:trPr>
        <w:tc>
          <w:tcPr>
            <w:tcW w:w="4536" w:type="dxa"/>
          </w:tcPr>
          <w:p w:rsidR="00EE317D" w:rsidRPr="00EE317D" w:rsidRDefault="00EE317D" w:rsidP="00EE317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317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:rsidR="00EE317D" w:rsidRPr="00EE317D" w:rsidRDefault="00EE317D" w:rsidP="00EE317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317D" w:rsidRPr="00EE317D" w:rsidRDefault="00EE317D" w:rsidP="00EE31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E317D" w:rsidRPr="00EE317D" w:rsidRDefault="00EE317D" w:rsidP="00EE317D">
            <w:pPr>
              <w:tabs>
                <w:tab w:val="left" w:pos="53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___________________/______________/</w:t>
            </w:r>
          </w:p>
          <w:p w:rsidR="00EE317D" w:rsidRPr="00EE317D" w:rsidRDefault="00EE317D" w:rsidP="00EE317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EE317D" w:rsidRPr="00EE317D" w:rsidRDefault="00EE317D" w:rsidP="00EE317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Міжгірський</w:t>
            </w:r>
            <w:proofErr w:type="spellEnd"/>
            <w:r w:rsidRPr="00EE31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центр первинної 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едико-санітарної допомоги</w:t>
            </w:r>
            <w:r w:rsidRPr="00EE31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Міжгірської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селищної</w:t>
            </w:r>
            <w:r w:rsidRPr="00EE31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ради Закарпатської області</w:t>
            </w: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Адреса: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900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00, </w:t>
            </w:r>
            <w:proofErr w:type="spellStart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Закарпатська</w:t>
            </w:r>
            <w:proofErr w:type="spellEnd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область,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>смт. Міжгір’я, вул. Возз’єднання, 4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ЄДРПОУ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</w:rPr>
              <w:t>3846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val="uk-UA"/>
              </w:rPr>
              <w:t>285</w:t>
            </w:r>
            <w:proofErr w:type="gramEnd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</w:pP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р/р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: 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 xml:space="preserve"> 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в 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uk-UA"/>
              </w:rPr>
              <w:t>АТ КБ Приватбанк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МФО</w:t>
            </w:r>
            <w:proofErr w:type="gramStart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: 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</w:rPr>
              <w:t>.</w:t>
            </w:r>
            <w:proofErr w:type="gramEnd"/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Електронна</w:t>
            </w:r>
            <w:proofErr w:type="spellEnd"/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: </w:t>
            </w:r>
            <w:proofErr w:type="spellStart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cpmsd</w:t>
            </w:r>
            <w:proofErr w:type="spellEnd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mizg</w:t>
            </w:r>
            <w:proofErr w:type="spellEnd"/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@ukr.net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ІПН: 384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/>
              </w:rPr>
              <w:t>662807087</w:t>
            </w: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 xml:space="preserve">; </w:t>
            </w: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EE317D" w:rsidRPr="00EE317D" w:rsidRDefault="00EE317D" w:rsidP="00EE31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_________________________ /</w:t>
            </w: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uk-UA"/>
              </w:rPr>
              <w:t>___________</w:t>
            </w:r>
            <w:r w:rsidRPr="00EE317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/</w:t>
            </w:r>
          </w:p>
          <w:p w:rsidR="00EE317D" w:rsidRPr="00EE317D" w:rsidRDefault="00EE317D" w:rsidP="00EE317D">
            <w:pPr>
              <w:tabs>
                <w:tab w:val="left" w:pos="0"/>
              </w:tabs>
              <w:snapToGri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E317D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  <w:t>М.П.</w:t>
            </w:r>
          </w:p>
          <w:p w:rsidR="00EE317D" w:rsidRPr="00EE317D" w:rsidRDefault="00EE317D" w:rsidP="00EE317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EE317D" w:rsidRPr="00EE317D" w:rsidRDefault="00EE317D" w:rsidP="00EE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EE317D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EE317D" w:rsidRPr="00EE317D" w:rsidRDefault="00EE317D" w:rsidP="00EE31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17D">
        <w:rPr>
          <w:rFonts w:ascii="Times New Roman" w:eastAsia="Calibri" w:hAnsi="Times New Roman" w:cs="Times New Roman"/>
          <w:b/>
          <w:sz w:val="24"/>
          <w:szCs w:val="24"/>
        </w:rPr>
        <w:t xml:space="preserve">Ми </w:t>
      </w:r>
      <w:proofErr w:type="spellStart"/>
      <w:r w:rsidRPr="00EE317D">
        <w:rPr>
          <w:rFonts w:ascii="Times New Roman" w:eastAsia="Calibri" w:hAnsi="Times New Roman" w:cs="Times New Roman"/>
          <w:b/>
          <w:sz w:val="24"/>
          <w:szCs w:val="24"/>
        </w:rPr>
        <w:t>згодні</w:t>
      </w:r>
      <w:proofErr w:type="spellEnd"/>
      <w:r w:rsidRPr="00EE317D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 w:rsidRPr="00EE317D">
        <w:rPr>
          <w:rFonts w:ascii="Times New Roman" w:eastAsia="Calibri" w:hAnsi="Times New Roman" w:cs="Times New Roman"/>
          <w:b/>
          <w:sz w:val="24"/>
          <w:szCs w:val="24"/>
        </w:rPr>
        <w:t>даним</w:t>
      </w:r>
      <w:proofErr w:type="spellEnd"/>
      <w:r w:rsidRPr="00EE317D">
        <w:rPr>
          <w:rFonts w:ascii="Times New Roman" w:eastAsia="Calibri" w:hAnsi="Times New Roman" w:cs="Times New Roman"/>
          <w:b/>
          <w:sz w:val="24"/>
          <w:szCs w:val="24"/>
        </w:rPr>
        <w:t xml:space="preserve"> проектом Договору.</w:t>
      </w:r>
    </w:p>
    <w:p w:rsidR="00EE317D" w:rsidRPr="00EE317D" w:rsidRDefault="00EE317D" w:rsidP="00EE31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Дата,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підпис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керівника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уповноваженої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особи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юридичної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особи, </w:t>
      </w:r>
      <w:proofErr w:type="spellStart"/>
      <w:proofErr w:type="gramStart"/>
      <w:r w:rsidRPr="00EE317D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 особи</w:t>
      </w:r>
      <w:proofErr w:type="gram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підприємця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завірені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печаткою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 xml:space="preserve"> (при </w:t>
      </w:r>
      <w:proofErr w:type="spellStart"/>
      <w:r w:rsidRPr="00EE317D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EE317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E317D" w:rsidRPr="00EE317D" w:rsidRDefault="00EE317D" w:rsidP="00EE31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EE317D" w:rsidRPr="00EE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3CFC"/>
    <w:multiLevelType w:val="hybridMultilevel"/>
    <w:tmpl w:val="FC281D52"/>
    <w:lvl w:ilvl="0" w:tplc="E7E0FA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CE"/>
    <w:rsid w:val="000964CE"/>
    <w:rsid w:val="00131F3C"/>
    <w:rsid w:val="00225995"/>
    <w:rsid w:val="00886F52"/>
    <w:rsid w:val="00EE317D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9A21-9052-47C8-9601-854B6C34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2487</Words>
  <Characters>14180</Characters>
  <Application>Microsoft Office Word</Application>
  <DocSecurity>0</DocSecurity>
  <Lines>118</Lines>
  <Paragraphs>33</Paragraphs>
  <ScaleCrop>false</ScaleCrop>
  <Company>diakov.net</Company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2023-03-24T12:29:00Z</dcterms:created>
  <dcterms:modified xsi:type="dcterms:W3CDTF">2023-03-31T08:34:00Z</dcterms:modified>
</cp:coreProperties>
</file>