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47CD">
      <w:pPr>
        <w:widowControl w:val="0"/>
        <w:shd w:val="clear" w:color="auto" w:fill="FFFFFF"/>
        <w:spacing w:before="120" w:after="24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ДОДАТОК 3 ДО ТЕНДЕРНОЇ ДОКУМЕНТАЦІЇ</w:t>
      </w: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ПРОЕКТ ДОГОВОРУ ПРО ЗАКУПІВЛЮ</w:t>
      </w:r>
    </w:p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Договір № ____</w:t>
      </w: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про закупівлю послуг</w:t>
      </w:r>
    </w:p>
    <w:p w:rsidR="00000000" w:rsidRDefault="009C47CD">
      <w:pPr>
        <w:spacing w:line="240" w:lineRule="auto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м. Львів                                                    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ab/>
        <w:t xml:space="preserve">                                       “   ” ________ 2024 року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   </w:t>
      </w:r>
    </w:p>
    <w:p w:rsidR="00000000" w:rsidRDefault="009C47CD">
      <w:pPr>
        <w:spacing w:line="240" w:lineRule="auto"/>
        <w:ind w:firstLine="360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___________________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особі ______________________________________________________________, що діє на підставі Стуту (далі –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Замовник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), з однієї сторони, і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uk-UA"/>
        </w:rPr>
        <w:t>_____________________________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, що діє на підставі ______________ (далі –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Виконавець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), з іншої сторони, разом - Сторони, ук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лали цей договір про таке (далі - Договір):</w:t>
      </w:r>
    </w:p>
    <w:p w:rsidR="00000000" w:rsidRDefault="009C47CD">
      <w:pPr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І. ПРЕДМЕТ ДОГОВОРУ</w:t>
      </w:r>
    </w:p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Виконавець зобов'язується надати Замовникові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Послуги з прибирання (</w:t>
      </w:r>
      <w:r>
        <w:rPr>
          <w:rFonts w:ascii="Times New Roman" w:hAnsi="Times New Roman" w:cs="Times New Roman"/>
          <w:b/>
          <w:sz w:val="23"/>
          <w:szCs w:val="23"/>
          <w:lang w:val="uk-UA" w:eastAsia="uk-UA"/>
        </w:rPr>
        <w:t>ДК 021:2015:90910000-9 - Послуги з прибирання)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, а Замовник – прийняти і оплатити їх</w:t>
      </w:r>
      <w:r>
        <w:rPr>
          <w:rFonts w:ascii="Times New Roman" w:hAnsi="Times New Roman" w:cs="Times New Roman"/>
          <w:b/>
          <w:sz w:val="23"/>
          <w:szCs w:val="23"/>
          <w:lang w:val="uk-UA" w:eastAsia="uk-UA"/>
        </w:rPr>
        <w:t>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Місце (адреса) надання послу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ги: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79005, м. Львів, вул. Князя Романа, будинок 6;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79008, м. Львів, площа Ринок, 42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Обсяги закупівлі і складові послуги та строки їх наданння визначаються Технічним завданням, викладеному у Додатку №2 до Договору. Обсяги закупівлі послуг можуть бути з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меншені залежно від реального фінансування видатків.  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Бюджетні зобов’язання за договором виникають між сторонами у разі наявності та в межах відповідних бюджетних призначень.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1.5.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Договір укладено за результатами проведеної процедури закупівлі - відк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ритиі торги з особливостями.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II. ПОРЯДОК НАДАННЯ ПОСЛУГ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Учасник зобов’язується надати передбачені предметом Договору послуги, якість яких відповідає умовам даного Договору та додатків до нього, а в разі їх відсутності або неповноти – вимогам норматив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них документів, що регламентують якість надання послуг, зазначених у предметі даного Договору.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Виконавець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надає послуги власними силами та засобами, забезпечує належну якість наданих послуг, забезпечує розхідними матеріалами.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випадку виникнення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об’єктивної необхідності надання послуг може бути тимчасово призупинено, на підставі письмового повідомлення (листа, звернення) Замовника, котре надсилається не пізніш як за 5 (п’яти)  календарних днів до початку призупинення надання послуг. </w:t>
      </w:r>
    </w:p>
    <w:p w:rsidR="00000000" w:rsidRDefault="009C47CD">
      <w:pPr>
        <w:spacing w:line="240" w:lineRule="auto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Послуга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може бути визнана неналежною за якістю, якщо результати перевірки свідчать, що: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- Виконавець  фактично не надає послугу або надає її не в повному обсязі;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- Послуги надаються не у відповідності з періодичністю та строками їх надання, передбаченими умовами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даного договору, зокрема у Додатку 1.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2.5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Факт неналежного надання послуги фіксується в Акті перевірки належної якості  Послуг. Акт складається мінімум за участі трьох членів комісії, яка утворюється Замовником безпосередньо перед проведенням перевірки. За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відсутності достатніх підстав для визнання Послуги неналежною акт може не складатись.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Складений акт Замовник упродовж трьох робочих днів направляє Виконавцю  для усунення недоліків та недопущення порушень у майбутньому.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III. ЦІНА ДОГОВОРУ</w:t>
      </w:r>
    </w:p>
    <w:p w:rsidR="00000000" w:rsidRDefault="009C47CD">
      <w:pPr>
        <w:spacing w:line="240" w:lineRule="auto"/>
        <w:jc w:val="both"/>
        <w:textAlignment w:val="baseline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lastRenderedPageBreak/>
        <w:t>3.1.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Загальна ц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іна цього Договору становить _________ ( _______грн.__ коп. ) грн. без ПДВ/з ПДВ - _________________ грн.</w:t>
      </w:r>
    </w:p>
    <w:p w:rsidR="00000000" w:rsidRDefault="009C47CD">
      <w:pPr>
        <w:spacing w:line="240" w:lineRule="auto"/>
        <w:jc w:val="both"/>
        <w:textAlignment w:val="baseline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3.2.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Вартість послуг за цим Договором та склад послуг детально визначається Розрахунком вартості послуг  (Додаток №1  до цього До</w:t>
      </w:r>
      <w:r>
        <w:rPr>
          <w:rFonts w:ascii="Times New Roman" w:hAnsi="Times New Roman" w:cs="Times New Roman"/>
          <w:color w:val="auto"/>
          <w:sz w:val="23"/>
          <w:szCs w:val="23"/>
        </w:rPr>
        <w:t>говору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), а також Інфо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рмацією  про технічні, якісні та кількісні характеристики (Додаток №2) та є його невід’ємними частинами.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3.3.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Ціна цього Договору може бути зменшена за взаємною згодою Сторін, з урахуванням фактичних потреб замовника та наявності фінансування, відповідно д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о чинного законодавства та шляхом укладання відповідної додаткової угоди до даного Договору. 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IV. ПОРЯДОК ЗДІЙСНЕННЯ ОПЛАТИ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4.1.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Р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озрахунки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за цим Договором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проводяться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у безготівковій формі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шляхом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перерахування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місячної суми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коштів на розрахунковий рахун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ок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Виконавця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, згідно з наданим рахунком та актом наданих послуг.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4.2.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Розрахунковим вважається період з 01 числа минулого місяця до 01 числа поточного місяця.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4.3.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Протягом п’ятнадцяти днів з моменту закінчення місяця, за який виставляється рахунок, </w:t>
      </w:r>
      <w:r>
        <w:rPr>
          <w:rFonts w:ascii="Times New Roman" w:hAnsi="Times New Roman" w:cs="Times New Roman"/>
          <w:bCs/>
          <w:color w:val="auto"/>
          <w:sz w:val="23"/>
          <w:szCs w:val="23"/>
          <w:lang w:val="uk-UA"/>
        </w:rPr>
        <w:t>Викона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val="uk-UA"/>
        </w:rPr>
        <w:t xml:space="preserve">вець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виставляє </w:t>
      </w:r>
      <w:r>
        <w:rPr>
          <w:rFonts w:ascii="Times New Roman" w:hAnsi="Times New Roman" w:cs="Times New Roman"/>
          <w:bCs/>
          <w:color w:val="auto"/>
          <w:sz w:val="23"/>
          <w:szCs w:val="23"/>
          <w:lang w:val="uk-UA"/>
        </w:rPr>
        <w:t>Замовнику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рахунки та Акт виконаних робіт за фактично надані </w:t>
      </w:r>
      <w:r>
        <w:rPr>
          <w:rFonts w:ascii="Times New Roman" w:hAnsi="Times New Roman" w:cs="Times New Roman"/>
          <w:bCs/>
          <w:color w:val="auto"/>
          <w:sz w:val="23"/>
          <w:szCs w:val="23"/>
          <w:lang w:val="uk-UA"/>
        </w:rPr>
        <w:t>Послуги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протягом розрахункового періоду.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4.4.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Замовник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, не пізніше 15 календарних днів з дати виставленя рахунку, вносить плату за фактично надані послуги, відповідно до п. 3.1. цьо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го Договору.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4.5.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 У разі призупинення надання послуг із урахуванням п. 2.3. вартість за такий місяць перераховується із урахуванням  фактичного надання послуг.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4.6.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val="uk-UA" w:eastAsia="uk-UA"/>
        </w:rPr>
        <w:t>У разі затримки бюджетного фінансування розрахунки за надані послуги здійснюються  при отр</w:t>
      </w:r>
      <w:r>
        <w:rPr>
          <w:rFonts w:ascii="Times New Roman" w:hAnsi="Times New Roman" w:cs="Times New Roman"/>
          <w:color w:val="auto"/>
          <w:sz w:val="23"/>
          <w:szCs w:val="23"/>
          <w:lang w:val="uk-UA" w:eastAsia="uk-UA"/>
        </w:rPr>
        <w:t xml:space="preserve">иманні Замовником бюджетного призначення на фінансування цих послуг.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Неякісно надані послуги оплаті не </w:t>
      </w:r>
      <w:r>
        <w:rPr>
          <w:rStyle w:val="grame"/>
          <w:rFonts w:ascii="Times New Roman" w:hAnsi="Times New Roman"/>
          <w:color w:val="auto"/>
          <w:sz w:val="23"/>
          <w:szCs w:val="23"/>
          <w:lang w:val="uk-UA"/>
        </w:rPr>
        <w:t>п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ідлягають. Факт неякісного надання послуг фіксується, шляхом складення відповідного акту та виставлення притензії Виконавцю у письмовій формі.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4.7.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Замо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вник відповідно до абз. 2 ч. 1 ст. 614 ЦКУ не несе відповідальності за відсутність замовленого фінансування з міського бюджету м. Львова, якщо ним були вчинені всі можливі заходи для здійснення виконання зобов’язань по Договору.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VI. ПРАВА ТА ОБОВ'ЯЗКИ СТО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РІН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u w:val="single"/>
          <w:lang w:val="uk-UA"/>
        </w:rPr>
        <w:t>Замовник зобов'язаний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6.1.1.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Своєчасно та в повному обсязі сплачувати за якісно надані послуги;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6.1.2.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Приймати надані послуги згідно з актом виконаних робіт (наданих послуг);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6.1.4.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Забезпечити вільний доступ працівників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Виконавця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 користування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електроенергією, водопостачанням та водовідведенням.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6.1.5.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Забезпечити вільний доступ працівників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Виконавця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 приміщень для прибирання.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6.1.6.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На вимогу (за потреби) Виконавця надати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Виконавцю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приміщення для зберігання обладнання та інвентарю.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6.1.7.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По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відомляти Виконавцяпро виявлені недоліки та/або невідповідність послуг умовам даного Договору в порядку, передбаченому цим договором.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u w:val="single"/>
          <w:lang w:val="uk-UA"/>
        </w:rPr>
        <w:t>Замовник має право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6.2.1.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Достроково розірвати цей Договір у разі невиконання зобов'язань Учасником, повідомивши про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це його у строк п’ять робочих днів;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6.2.2.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Здійснювати контроль і нагляд за ходом і якістю наданих послуг, дотриманням термінів їх виконання, не втручаючись при цьому в оперативно-господарську діяльність Виконавця.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Проводити перевірку належності надання П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ослуги, оцінювати якість Послуги та оформляти підсумки Актом перевірки належності Послуги відповідно до вимог цього Договору.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6.2.3.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Зменшувати обсяг надання послуг та загальну вартість цього Договору залежно від реального фінансування видатків. У такому р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азі Сторони вносять відповідні зміни до цього Договору;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6.2.4.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Повернути документи Виконавцю без здійснення оплати в разі неналежного їх оформлення (відсутність печатки, підписів тощо);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6.2.5.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Вносити Виконавцю  пропозиції стосовно покращення якості Послуг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и.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u w:val="single"/>
          <w:lang w:val="uk-UA"/>
        </w:rPr>
        <w:t>Викнавець зобов'язаний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lastRenderedPageBreak/>
        <w:t>6.3.1.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Забезпечити надання послуг у строки, встановлені цим Договором;</w:t>
      </w:r>
      <w:bookmarkStart w:id="0" w:name="_GoBack"/>
      <w:bookmarkEnd w:id="0"/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6.3.2.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Забезпечити надання послуг, якість яких відповідає умовам, установленим розділом II цього Договору;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6.3.3.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разі виявлення недоліків, щодо не як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існого прибирання, негайно їх усувати;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6.3.4.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Забезпечити дотримання персоналом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Виконавця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вимог охорони праці, правил техніки безпеки, пожежної безпеки, санітарно-гігієнічних норм при виконанні ними послуг по прибиранню;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6.3.5.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Використовувати технічно спр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авні механічні, електричні та інші засоби та обладнання, які необхідні для відповідного надання послуг з прибирання; Здійснювати контроль за умовами експлуатації, технічного обслуговування механічних, електричних та інших технічних засобів та обладнання, щ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 необхідні для надання послуг по прибиранню;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6.3.6.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Своєчасно оформляти і передавати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Замовнику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Акти наданих послуг і рахунки, які підлягають оплаті.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6.3.7.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Уповноважена особа Виконавця, у випадку надання послуг до початку робочого дня або після його завер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шення зобов’язана належним чином знімати/ставити об’єкт під охорону. У випадку виникнення проблем чи труднощів негайно повідомити уповноважену особу Замовника.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6.3.8.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Не залишати об’єкт без належним чином увімкнутої охоронної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сигналізації, у випадку якщо в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приміщенні відсутні працівники Замовника.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u w:val="single"/>
          <w:lang w:val="uk-UA"/>
        </w:rPr>
        <w:t>Виконавець має право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6.4.1.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Своєчасно та в повному обсязі отримувати плату за надані послуги;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6.4.2.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На дострокове надання послуг за письмовим погодженням Замовника;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6.4.3.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разі невиконання зобов'язань Зам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овником Виконавець має право достроково розірвати цей Договір, повідомивши про це Замовника у строк трьох календарних днів;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VII. ВІДПОВІДАЛЬНІСТЬ СТОРІН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разі невиконання або неналежного виконання своїх зобов'язань за Договором Сторони несуть відпов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ідальність, передбачену законами та цим Договором. 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разі затримки надання послуг або надання не в повному обсязі, заявлених Замовником, Учасник сплачує пеню у розмірі подвійної облікової ставки НБУ від суми ненаданих послуг за кожний день затримки.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Дана сума виключається із платежу наступного періоду (місяця, декади, тощо). 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Замовник відповідно до ч.1 ст. 235 Господарського кодексу України за порушення Учасником господарських зобов'язань за цим Договором може застосовувати оперативно-господарськ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і санкції – заходи оперативного впливу на Учасника з метою припинення або попередження повторення порушень зобов'язання, що використовуються Сторонами в односторонньому порядку.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випадку порушення Учасником умов Договору Замовником можуть бути застос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овані такі оперативно-господарські санкції: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7.4.1.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Одностороння відмова Замовника від виконання свого зобов'язання із звільненням його від відповідальності за це.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7.4.2.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Відмова від оплати за зобов'язанням, яке виконано неналежним чином або достроково викон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ано Учасником без згоди Замовника.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7.4.3.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Відмова Замовника від прийняття подальшого виконання зобов'язання, порушеного Учасником.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7.4.4.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Відмова від встановлення на майбутнє господарських відносин з Учасником.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VIII. ОБСТАВИНИ НЕПЕРЕБОРНОЇ СИЛИ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8.1.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Сторо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о, епідемія, епізоотія, війна тощо). 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8.2.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формі. 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8.3.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у Львівській області.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8.4.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разі коли строк дії обставин непереборної сили продовжується більше ніж п’ять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днів, кожна із Сторін в установленому порядку має право розірвати цей Договір. 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IX. ВИРІШЕННЯ СПОРІВ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9.1.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9.2.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разі недосягн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ення Сторонами згоди спори (розбіжності) вирішуються у судовому порядку.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X. СТРОК ДІЇ ДОГОВОРУ</w:t>
      </w:r>
    </w:p>
    <w:p w:rsidR="00000000" w:rsidRDefault="009C47CD">
      <w:pPr>
        <w:pStyle w:val="HTMLPreformatted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10.1.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Договір набирає чинності з моменту його підписання та діє з _________________ до 31.12.2024 року, але в будь якому випадку, а в частині розрахунків до пов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ного їх виконання.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10.2.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Цей Договір укладається і підписується у двох примірниках, що мають однакову юридичну силу.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10.3.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Дія договору про закупівлю може бути продовжена на строк, достатній для проведення процедури закупівлі/спрощеної закупівлі на початку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ХІ. ІНШІ УМОВИ</w:t>
      </w:r>
    </w:p>
    <w:p w:rsidR="00000000" w:rsidRDefault="009C47CD">
      <w:pPr>
        <w:spacing w:line="240" w:lineRule="auto"/>
        <w:jc w:val="both"/>
      </w:pPr>
      <w:bookmarkStart w:id="1" w:name="n660"/>
      <w:bookmarkEnd w:id="1"/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11.1.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Договір про закупі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влю за результатами проведеної закупівлі згідно Закону України «Про публічні закупівлі» та з врахуванням Особливостей, затверджених постановою КМУ № 1178 «Про затвердження особливостей здійснення публічних закупівель товарів, робіт і послуг для замовників,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Особливості), укладається укладається відповідно до Циві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льного і Господарського кодексів України з урахуванням положень статті 41 Закону, крім частин другої - п’ятої, сьомої - дев’ятої статті 41 Закону 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Умови договору про закупівлю не повинні відрізнятися від змісту тендерної пропозиції переможця процедури заку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півлі, у тому числі за результатами електронного аукціону, крім випадків передбачених п.18 Особливостей.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едбачених п.19 Особливостей, а саме: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2) покращення якості предмета закупівлі за умови, що таке покращення не призведе до збільшення суми, визначеної в договорі про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закупівлю;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4) погодження зміни ціни в договорі про закупівлю в бік зменшення (без зміни кількості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(обсягу) та якості товарів, робіт і послуг);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6) зміни встановленого згідно із законодавством органами державної статистики індексу споживчих цін, зміни курсу іноземної валют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и, зміни біржових котирувань або показників Platts,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орядку зміни ціни;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7) зміни умов у зв’язку із застосуванням положень частини шостої статті 41 Закону;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11.2</w:t>
      </w:r>
      <w: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Усі зміни та доповнення до цього Договору вносяться в період його дії, за згодою Сторін та з урахуванням положень Закону України «Про публічні закупі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влі» та Особливостей, затверджених постановою КМУ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тану в Україні та протягом 90 днів з дня його припинення або скасування» від 12 жовтня 2022 р., шляхом  укладення додаткової угоди до даного Договору, яка стає невід’ємною його частиною і набирає чинності лише після її підписання Сторонами. Додаткові угоди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 Договору укладаються у письмовій формі, українською мовою, у двох автентичних екземплярах, які мають рівну юридичну силу, та набувають чинності після підписання їх обома Сторонами і скріплення печатками (за наявності).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11.3.</w:t>
      </w:r>
      <w: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Цей Договір не втрачає чинн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ості у разі зміни реквізитів Сторін, їх установчих документів, а також зміни адрес та телефонних номерів. Сторона, в якої виникли такі зміни, зобов’язана протягом 5 робочих днів повідомити іншу Сторону шляхом надсилання листа за підписом уповноваженої особ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и Сторони (рекомендованого листа з повідомленням про вручення або доставлення кур’єром під підпис про отримання уповноваженим представником відповідної Сторони) з подальшим укладенням відповідної додаткової угоди до даного Договору.</w:t>
      </w:r>
    </w:p>
    <w:p w:rsidR="00000000" w:rsidRDefault="009C47CD">
      <w:pPr>
        <w:spacing w:line="240" w:lineRule="auto"/>
        <w:ind w:right="-100" w:hanging="2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11.4.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Цей Договір може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бути достроково розірваний в разі:</w:t>
      </w:r>
    </w:p>
    <w:p w:rsidR="00000000" w:rsidRDefault="009C47CD">
      <w:pPr>
        <w:spacing w:line="240" w:lineRule="auto"/>
        <w:ind w:right="-100" w:hanging="2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- неналежного виконання зобов’язань за даним договором;</w:t>
      </w:r>
    </w:p>
    <w:p w:rsidR="00000000" w:rsidRDefault="009C47CD">
      <w:pPr>
        <w:spacing w:line="240" w:lineRule="auto"/>
        <w:ind w:right="-100" w:hanging="2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- порушення терміну надання послуги;</w:t>
      </w:r>
    </w:p>
    <w:p w:rsidR="00000000" w:rsidRDefault="009C47CD">
      <w:pPr>
        <w:spacing w:line="240" w:lineRule="auto"/>
        <w:ind w:right="-100" w:hanging="2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- за взаємною згодою Сторін та в інших випадках, передбачених законодавством України.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ХІІ. АНТИКОРУПЦІЙНЕ ЗАСТЕРЕЖЕННЯ</w:t>
      </w:r>
    </w:p>
    <w:p w:rsidR="00000000" w:rsidRDefault="009C47CD">
      <w:pPr>
        <w:spacing w:line="240" w:lineRule="auto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12.1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. С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торони зобов’язуються забезпечити повну відповідальність своїх працівників вимогам антикорупційного законодавства.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Сторони погоджуються не здійснювати, прямо чи опосередковано, жодних грошових виплат, передачі майна, надання переваг, пільг,  послуг,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нематеріальних активів,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тим, щоб отримати будь яку вигоду або перевагу.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Сторони підтверджуют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ь, що їх працівники не використовують надані їм службові або трудові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числі, щоб схилити цю особу до протиправного використання наданих їй службових повноважень чи пов’язаних з ними можливостей.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12.4.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Кожна із Сторін цього Договору відмовляється від стимулювання будь- яким чином працівників іншої Сторони, в тому числі шляхом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надання грошових сум, подарунків, безоплатного виконання на їх адресу робіт (послуг) та іншими, не поіменованими у цьому пункті способами, що ставить працівника в певну залежність і спрямованого на забезпечення виконання цим працівником будь – яких дій на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користь стимулюючої його Сторони.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12.5.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Під діями працівника, здійснюваними на користь стимулюючої його Сторони, розуміються:</w:t>
      </w:r>
    </w:p>
    <w:p w:rsidR="00000000" w:rsidRDefault="009C47CD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надання невиправданих переваг у порівнянні з іншими контрагентами;</w:t>
      </w:r>
    </w:p>
    <w:p w:rsidR="00000000" w:rsidRDefault="009C47CD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надання будь – яких гарантій;</w:t>
      </w:r>
    </w:p>
    <w:p w:rsidR="00000000" w:rsidRDefault="009C47CD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прискорення існуючих процедур;</w:t>
      </w:r>
    </w:p>
    <w:p w:rsidR="00000000" w:rsidRDefault="009C47CD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і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нші дії, що виконуються працівником в рамках своїх посадових обов’язків, але йдуть врозріз з принципами прозорості та відкритості взаємовідносин між Сторонами.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12.6.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Сторони підтверджують, що їх працівники ознайомлені про кримінальну, адміністративну, циві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льно – правову та адміністративну відповідальність за порушення антикорупційного законодавства.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12.7.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Сторони цього Договору визнають вжиття заходів щодо запобігання корупції та контролюють їх дотримання. При цьому Сторони докладають розумні зусилля, щоб м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інімізувати ризик ділових відносин з контрагентами, які можуть бути залучені в корупційну діяльність, а також надають взаємне сприяння один одному з метою запобігання корупції. При цьому Сторони забезпечують реалізацію процедур з проведення перевірок з мет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ою запобігання ризиків залучення Сторін у корупційну діяльність.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12.8.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Сторони визнають, що їх можливі неправомірні дії та порушення антикорупційних умов цього Договору можуть спричинити за собою несприятливі наслідки -- аж до розірвання цього Договору.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.9.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разі виникнення у Сторони підозр, що відбулося або може відбутися порушення будь – яких антикорупційних умов, відповідна Сторона зобов’язується повідомити іншу Сторону у письмовій формі. Після письмового повідомлення, відповідна сторона має право при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зупинити виконання зобов’язань за цим Договором до отримання підтвердження, що порушення не відбулося або не відбудеться. Це підтвердження повинно бути надіслане протягом 5 робочих днів з дати направлення письмового повідомлення.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12.10.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письмовому повідо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 – яких положень цих умов контрагентом, його афілійованими особами, працівниками аб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о посередниками виражається в діях, які кваліфікуються відповідним законодавством, як дача або одержання хабаря, комерційний підкуп, а також діях, що порушують вимоги антикорупційного законодавства та міжнародних актів про протидію легалізації доходів, отр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иманих злочинним шляхом.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12.11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. Сторони гарантують повну конфіденційність при виконанні антикорупційних умов цього Договору, а також відсутність негативних наслідків для Сторін в цілому, так і для конкретних працівників Сторони, які повідомили про факт пор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ушень.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XІIІ. ДОДАТКИ ДО ДОГОВОРУ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13.1.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Додатками до цього Договору є: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1)  розрахунк вартості послуг 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прибирання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000000" w:rsidRDefault="009C47CD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2) інформація про технічні, якісні та кількісні характеристики;</w:t>
      </w: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XI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. МІСЦЕЗНАХОДЖЕННЯ ТА БАНКІВСЬКІ РЕКВІЗИТИ СТОРІН</w:t>
      </w:r>
    </w:p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0"/>
        <w:gridCol w:w="4654"/>
      </w:tblGrid>
      <w:tr w:rsidR="00000000">
        <w:tc>
          <w:tcPr>
            <w:tcW w:w="4690" w:type="dxa"/>
            <w:shd w:val="clear" w:color="auto" w:fill="auto"/>
          </w:tcPr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Замовник:</w:t>
            </w:r>
          </w:p>
          <w:p w:rsidR="00000000" w:rsidRDefault="009C47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                                                   </w:t>
            </w:r>
          </w:p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                        </w:t>
            </w:r>
          </w:p>
          <w:p w:rsidR="00000000" w:rsidRDefault="009C47C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654" w:type="dxa"/>
            <w:shd w:val="clear" w:color="auto" w:fill="auto"/>
          </w:tcPr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Виконавець:</w:t>
            </w: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  <w:rPr>
          <w:b/>
          <w:sz w:val="23"/>
          <w:szCs w:val="23"/>
          <w:lang w:val="uk-UA"/>
        </w:rPr>
      </w:pPr>
    </w:p>
    <w:p w:rsidR="00000000" w:rsidRDefault="009C47CD">
      <w:pPr>
        <w:pStyle w:val="a7"/>
        <w:spacing w:after="0"/>
        <w:ind w:left="5245"/>
      </w:pPr>
      <w:r>
        <w:rPr>
          <w:b/>
          <w:sz w:val="23"/>
          <w:szCs w:val="23"/>
          <w:lang w:val="uk-UA"/>
        </w:rPr>
        <w:t>Додаток №1 до Договору №_________</w:t>
      </w:r>
    </w:p>
    <w:p w:rsidR="00000000" w:rsidRDefault="009C47CD">
      <w:pPr>
        <w:pStyle w:val="a7"/>
        <w:spacing w:after="0"/>
        <w:ind w:left="5245"/>
      </w:pPr>
      <w:r>
        <w:rPr>
          <w:b/>
          <w:sz w:val="23"/>
          <w:szCs w:val="23"/>
          <w:lang w:val="uk-UA"/>
        </w:rPr>
        <w:t>Від ______________________________</w:t>
      </w:r>
    </w:p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Розрахунок вартості послуги  прибирання</w:t>
      </w:r>
    </w:p>
    <w:p w:rsidR="00000000" w:rsidRDefault="009C47CD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(розцінки на складові п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ослуги)</w:t>
      </w:r>
    </w:p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</w:pPr>
    </w:p>
    <w:tbl>
      <w:tblPr>
        <w:tblW w:w="0" w:type="auto"/>
        <w:tblInd w:w="-36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7"/>
        <w:gridCol w:w="1992"/>
        <w:gridCol w:w="2624"/>
        <w:gridCol w:w="1347"/>
        <w:gridCol w:w="1309"/>
        <w:gridCol w:w="2219"/>
      </w:tblGrid>
      <w:tr w:rsidR="0000000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 приміщення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послугу/1 день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1 послугу/1 день, грн.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lang w:val="uk-UA"/>
              </w:rPr>
              <w:t>Загальна вартість, грн</w:t>
            </w:r>
          </w:p>
        </w:tc>
      </w:tr>
      <w:tr w:rsidR="00000000">
        <w:trPr>
          <w:trHeight w:val="542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Комплексне та підтримувальне прибирання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Князя Романа, 6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lang w:val="uk-UA"/>
              </w:rPr>
              <w:t>108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5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пл. Ринок, 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lang w:val="uk-UA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5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eastAsia="SimSun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>Генеральне прибирання приміщень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r>
              <w:rPr>
                <w:rFonts w:ascii="Times New Roman" w:hAnsi="Times New Roman" w:cs="Times New Roman"/>
                <w:sz w:val="24"/>
                <w:szCs w:val="24"/>
              </w:rPr>
              <w:t>вул.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нязя Романа, 6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lang w:val="uk-UA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566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пл. Ринок, 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lang w:val="uk-UA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724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Миття вікон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, дрібний ремонт і ущільнення віконних рам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r>
              <w:rPr>
                <w:rFonts w:ascii="Times New Roman" w:hAnsi="Times New Roman" w:cs="Times New Roman"/>
                <w:sz w:val="24"/>
                <w:szCs w:val="24"/>
              </w:rPr>
              <w:t>вул. Князя Романа, 6  (перший поверх)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lang w:val="uk-UA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564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вул. Князя Романа, 6  (інші вікна крім першого поверху)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lang w:val="uk-UA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564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пл. Ринок, 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pacing w:line="240" w:lineRule="auto"/>
              <w:jc w:val="both"/>
            </w:pPr>
            <w:r>
              <w:rPr>
                <w:lang w:val="uk-UA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352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lang w:val="uk-UA"/>
              </w:rPr>
              <w:t>Вартість з ПДВ: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410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lang w:val="uk-UA"/>
              </w:rPr>
              <w:t>в т.ч. ПДВ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414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lang w:val="uk-UA"/>
              </w:rPr>
              <w:t>Вартість без ПДВ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7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000000" w:rsidRDefault="009C47C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0"/>
        <w:gridCol w:w="4654"/>
      </w:tblGrid>
      <w:tr w:rsidR="00000000">
        <w:tc>
          <w:tcPr>
            <w:tcW w:w="4690" w:type="dxa"/>
            <w:shd w:val="clear" w:color="auto" w:fill="auto"/>
          </w:tcPr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Замовник:</w:t>
            </w:r>
          </w:p>
          <w:p w:rsidR="00000000" w:rsidRDefault="009C47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                                                              </w:t>
            </w:r>
          </w:p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                        </w:t>
            </w:r>
          </w:p>
          <w:p w:rsidR="00000000" w:rsidRDefault="009C47C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654" w:type="dxa"/>
            <w:shd w:val="clear" w:color="auto" w:fill="auto"/>
          </w:tcPr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Виконавець:</w:t>
            </w: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pageBreakBefore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jc w:val="right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000000" w:rsidRDefault="009C47CD">
      <w:pPr>
        <w:jc w:val="right"/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Додаток 2 до Договору №_____  </w:t>
      </w:r>
    </w:p>
    <w:p w:rsidR="00000000" w:rsidRDefault="009C47CD">
      <w:pPr>
        <w:jc w:val="right"/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від __________________ </w:t>
      </w:r>
    </w:p>
    <w:p w:rsidR="00000000" w:rsidRDefault="009C47CD">
      <w:pPr>
        <w:jc w:val="right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000000" w:rsidRDefault="009C47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000000" w:rsidRDefault="009C47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000000" w:rsidRDefault="009C47CD">
      <w:pPr>
        <w:spacing w:line="240" w:lineRule="auto"/>
        <w:ind w:left="284" w:right="23"/>
        <w:jc w:val="center"/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ІНФОРМАЦІЯ ПРО НЕОБХІДНІ ТЕХНІЧНІ, ЯКІСНІ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ТА КІЛЬКІСНІ ХАРАКТЕРИСТИКИ ПРЕДМЕТА ЗАКУПІВЛІ</w:t>
      </w:r>
    </w:p>
    <w:p w:rsidR="00000000" w:rsidRDefault="009C47CD">
      <w:pPr>
        <w:spacing w:line="240" w:lineRule="auto"/>
        <w:ind w:left="284" w:right="23"/>
        <w:jc w:val="center"/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000000" w:rsidRDefault="009C47CD">
      <w:pPr>
        <w:spacing w:line="240" w:lineRule="auto"/>
        <w:ind w:left="284" w:right="23"/>
        <w:jc w:val="center"/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ТЕХНІЧНА СПЕЦИФІКАЦІЯ (ЗАВДАННЯ)</w:t>
      </w:r>
    </w:p>
    <w:p w:rsidR="00000000" w:rsidRDefault="009C47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000000" w:rsidRDefault="009C47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000000" w:rsidRDefault="009C47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000000" w:rsidRDefault="009C47CD">
      <w:pPr>
        <w:ind w:right="54" w:firstLine="426"/>
        <w:contextualSpacing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00000" w:rsidRDefault="009C47C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4"/>
        <w:gridCol w:w="4660"/>
      </w:tblGrid>
      <w:tr w:rsidR="00000000">
        <w:tc>
          <w:tcPr>
            <w:tcW w:w="4694" w:type="dxa"/>
            <w:shd w:val="clear" w:color="auto" w:fill="auto"/>
          </w:tcPr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Замовник:                                                                        </w:t>
            </w:r>
          </w:p>
        </w:tc>
        <w:tc>
          <w:tcPr>
            <w:tcW w:w="4660" w:type="dxa"/>
            <w:shd w:val="clear" w:color="auto" w:fill="auto"/>
          </w:tcPr>
          <w:p w:rsidR="00000000" w:rsidRDefault="009C47C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Виконавець:</w:t>
            </w: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  <w:p w:rsidR="00000000" w:rsidRDefault="009C47CD">
            <w:pPr>
              <w:pStyle w:val="a7"/>
              <w:spacing w:after="0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000000" w:rsidRDefault="009C47CD">
      <w:pPr>
        <w:spacing w:line="240" w:lineRule="auto"/>
        <w:jc w:val="both"/>
      </w:pPr>
    </w:p>
    <w:sectPr w:rsidR="00000000">
      <w:pgSz w:w="11906" w:h="16838"/>
      <w:pgMar w:top="851" w:right="850" w:bottom="1134" w:left="1701" w:header="708" w:footer="708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D"/>
    <w:rsid w:val="009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1453C8-1051-4B1C-9168-98F2CCB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TML">
    <w:name w:val="Стандартний HTML Знак"/>
    <w:basedOn w:val="DefaultParagraphFont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a3">
    <w:name w:val="Основний текст Знак"/>
    <w:basedOn w:val="DefaultParagraphFont"/>
    <w:rPr>
      <w:rFonts w:cs="Times New Roman"/>
      <w:sz w:val="24"/>
      <w:szCs w:val="24"/>
      <w:lang w:val="ru-RU" w:eastAsia="ru-RU" w:bidi="ar-SA"/>
    </w:rPr>
  </w:style>
  <w:style w:type="character" w:customStyle="1" w:styleId="grame">
    <w:name w:val="grame"/>
    <w:basedOn w:val="DefaultParagraphFont"/>
    <w:rPr>
      <w:rFonts w:cs="Times New Roman"/>
    </w:rPr>
  </w:style>
  <w:style w:type="character" w:customStyle="1" w:styleId="a4">
    <w:name w:val="Схема документа Знак"/>
    <w:basedOn w:val="DefaultParagraphFont"/>
    <w:rPr>
      <w:rFonts w:cs="Arial"/>
      <w:color w:val="000000"/>
      <w:sz w:val="2"/>
    </w:rPr>
  </w:style>
  <w:style w:type="character" w:customStyle="1" w:styleId="3">
    <w:name w:val="Знак Знак3"/>
    <w:basedOn w:val="DefaultParagraphFont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a5">
    <w:name w:val="Текст у виносці Знак"/>
    <w:basedOn w:val="DefaultParagraphFont"/>
    <w:rPr>
      <w:rFonts w:cs="Arial"/>
      <w:color w:val="000000"/>
      <w:sz w:val="2"/>
    </w:rPr>
  </w:style>
  <w:style w:type="character" w:customStyle="1" w:styleId="FontStyle47">
    <w:name w:val="Font Style47"/>
    <w:rPr>
      <w:rFonts w:cs="Times New Roman"/>
      <w:b/>
      <w:bCs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b w:val="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eastAsia="Calibri" w:cs="Times New Roma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sz w:val="22"/>
    </w:rPr>
  </w:style>
  <w:style w:type="character" w:customStyle="1" w:styleId="ListLabel51">
    <w:name w:val="ListLabel 51"/>
    <w:rPr>
      <w:rFonts w:ascii="Times New Roman" w:hAnsi="Times New Roman"/>
      <w:sz w:val="23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rFonts w:ascii="Times New Roman" w:hAnsi="Times New Roman" w:cs="Symbol"/>
      <w:sz w:val="23"/>
    </w:rPr>
  </w:style>
  <w:style w:type="character" w:customStyle="1" w:styleId="ListLabel61">
    <w:name w:val="ListLabel 61"/>
    <w:rPr>
      <w:rFonts w:cs="Courier New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  <w:sz w:val="20"/>
    </w:rPr>
  </w:style>
  <w:style w:type="character" w:customStyle="1" w:styleId="ListLabel64">
    <w:name w:val="ListLabel 64"/>
    <w:rPr>
      <w:rFonts w:cs="Wingdings"/>
      <w:sz w:val="20"/>
    </w:rPr>
  </w:style>
  <w:style w:type="character" w:customStyle="1" w:styleId="ListLabel65">
    <w:name w:val="ListLabel 65"/>
    <w:rPr>
      <w:rFonts w:cs="Wingdings"/>
      <w:sz w:val="20"/>
    </w:rPr>
  </w:style>
  <w:style w:type="character" w:customStyle="1" w:styleId="ListLabel66">
    <w:name w:val="ListLabel 66"/>
    <w:rPr>
      <w:rFonts w:cs="Wingdings"/>
      <w:sz w:val="20"/>
    </w:rPr>
  </w:style>
  <w:style w:type="character" w:customStyle="1" w:styleId="ListLabel67">
    <w:name w:val="ListLabel 67"/>
    <w:rPr>
      <w:rFonts w:cs="Wingdings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18"/>
      <w:szCs w:val="18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NoSpacing">
    <w:name w:val="No Spacing"/>
    <w:pPr>
      <w:widowControl w:val="0"/>
      <w:suppressAutoHyphens/>
      <w:overflowPunct w:val="0"/>
    </w:pPr>
    <w:rPr>
      <w:rFonts w:ascii="Times New Roman CYR" w:hAnsi="Times New Roman CYR"/>
      <w:sz w:val="24"/>
      <w:szCs w:val="24"/>
      <w:lang w:val="ru-RU" w:eastAsia="ar-SA"/>
    </w:rPr>
  </w:style>
  <w:style w:type="paragraph" w:customStyle="1" w:styleId="Style1">
    <w:name w:val="Style1"/>
    <w:basedOn w:val="a"/>
    <w:pPr>
      <w:widowControl w:val="0"/>
      <w:spacing w:line="240" w:lineRule="auto"/>
      <w:jc w:val="center"/>
    </w:pPr>
    <w:rPr>
      <w:rFonts w:ascii="Times New Roman CYR" w:hAnsi="Times New Roman CYR" w:cs="Times New Roman"/>
      <w:color w:val="auto"/>
      <w:sz w:val="24"/>
      <w:szCs w:val="24"/>
      <w:lang w:eastAsia="zh-CN"/>
    </w:rPr>
  </w:style>
  <w:style w:type="paragraph" w:customStyle="1" w:styleId="NormalWeb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ab">
    <w:name w:val="Вміст таблиці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13327</Words>
  <Characters>7597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/>
  <LinksUpToDate>false</LinksUpToDate>
  <CharactersWithSpaces>20883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subject/>
  <dc:creator>ПК</dc:creator>
  <cp:keywords/>
  <cp:lastModifiedBy>User</cp:lastModifiedBy>
  <cp:revision>2</cp:revision>
  <cp:lastPrinted>2018-02-21T06:10:00Z</cp:lastPrinted>
  <dcterms:created xsi:type="dcterms:W3CDTF">2024-02-09T20:46:00Z</dcterms:created>
  <dcterms:modified xsi:type="dcterms:W3CDTF">2024-02-09T20:46:00Z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