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11104824"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110482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1104824"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110482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1104824"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110482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65  від  22.03</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4</w:t>
            </w:r>
            <w:r>
              <w:rPr>
                <w:rFonts w:ascii="Times New Roman" w:hAnsi="Times New Roman"/>
                <w:b/>
                <w:sz w:val="20"/>
                <w:szCs w:val="24"/>
                <w:lang w:val="uk-ua" w:eastAsia="uk-ua"/>
              </w:rPr>
              <w:t xml:space="preserve">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1104824"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104824"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 xml:space="preserve">___________________  Діана ОНИЩЕНКО </w:t>
            </w:r>
            <w:r>
              <w:rPr>
                <w:rFonts w:ascii="Times New Roman" w:hAnsi="Times New Roman"/>
                <w:b/>
                <w:bCs/>
                <w:sz w:val="20"/>
                <w:szCs w:val="24"/>
                <w:lang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1104824"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10482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 xml:space="preserve">за предметом закупівлі: </w:t>
      </w:r>
    </w:p>
    <w:p>
      <w:pPr>
        <w:spacing w:after="0" w:line="240" w:lineRule="auto"/>
        <w:jc w:val="center"/>
        <w:rPr>
          <w:rFonts w:ascii="Times New Roman" w:hAnsi="Times New Roman" w:eastAsia="Times New Roman"/>
          <w:b/>
          <w:bCs/>
          <w:kern w:val="1"/>
          <w:sz w:val="32"/>
          <w:szCs w:val="32"/>
          <w:lang w:val="uk-ua" w:eastAsia="zh-cn"/>
        </w:rPr>
      </w:pPr>
      <w:r>
        <w:rPr>
          <w:rFonts w:ascii="Times New Roman" w:hAnsi="Times New Roman" w:eastAsia="Times New Roman"/>
          <w:b/>
          <w:bCs/>
          <w:kern w:val="1"/>
          <w:sz w:val="32"/>
          <w:szCs w:val="32"/>
          <w:lang w:val="uk-ua" w:eastAsia="zh-cn"/>
        </w:rPr>
        <w:t>ВЕБ-КАМЕРА LOGITECH GROUP VIDEO CONFERENCING SYSTEM (960-001057) або еквівалент</w:t>
      </w:r>
    </w:p>
    <w:p>
      <w:pPr>
        <w:spacing w:after="0" w:line="240" w:lineRule="auto"/>
        <w:jc w:val="center"/>
        <w:rPr>
          <w:rFonts w:ascii="Times New Roman" w:hAnsi="Times New Roman" w:eastAsia="Times New Roman"/>
          <w:b/>
          <w:caps/>
          <w:sz w:val="32"/>
          <w:szCs w:val="32"/>
          <w:lang w:val="uk-ua" w:eastAsia="ru-ru"/>
        </w:rPr>
      </w:pPr>
      <w:r>
        <w:rPr>
          <w:rFonts w:ascii="Times New Roman" w:hAnsi="Times New Roman"/>
          <w:b/>
          <w:kern w:val="1"/>
          <w:sz w:val="32"/>
          <w:szCs w:val="32"/>
          <w:shd w:val="clear" w:fill="ffffff"/>
          <w:lang w:val="uk-ua"/>
        </w:rPr>
        <w:t xml:space="preserve">КЛАСИФІКАЦІЯ ЗА ДК 021:2015 – </w:t>
        <w:br w:type="textWrapping"/>
        <w:t>30230000-0 «КОМП’ЮТЕРНЕ ОБЛАДНАННЯ»</w:t>
      </w:r>
      <w:r>
        <w:rPr>
          <w:rFonts w:ascii="Times New Roman" w:hAnsi="Times New Roman" w:eastAsia="Times New Roman"/>
          <w:b/>
          <w:caps/>
          <w:sz w:val="32"/>
          <w:szCs w:val="32"/>
          <w:lang w:val="uk-ua" w:eastAsia="ru-ru"/>
        </w:rPr>
        <w:t xml:space="preserve"> </w:t>
      </w:r>
      <w:r>
        <w:rPr>
          <w:rFonts w:ascii="Times New Roman" w:hAnsi="Times New Roman" w:eastAsia="Times New Roman"/>
          <w:b/>
          <w:caps/>
          <w:sz w:val="32"/>
          <w:szCs w:val="32"/>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419" w:type="dxa"/>
        <w:tblLook w:val="04A0" w:firstRow="1" w:lastRow="0" w:firstColumn="1" w:lastColumn="0" w:noHBand="0" w:noVBand="1"/>
      </w:tblPr>
      <w:tblGrid>
        <w:gridCol w:w="565"/>
        <w:gridCol w:w="2920"/>
        <w:gridCol w:w="5934"/>
      </w:tblGrid>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854" w:type="dxa"/>
            <w:gridSpan w:val="2"/>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5" w:type="dxa"/>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934" w:type="dxa"/>
            <w:shd w:val="solid" w:color="FFFFFF" tmshd="1677721856, 0, 16777215"/>
            <w:tcMar>
              <w:top w:w="48" w:type="dxa"/>
              <w:left w:w="48" w:type="dxa"/>
              <w:bottom w:w="48" w:type="dxa"/>
              <w:right w:w="48" w:type="dxa"/>
            </w:tcMar>
            <w:tmTcPr id="1711104824"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left"/>
              <w:rPr>
                <w:rFonts w:ascii="Times New Roman" w:hAnsi="Times New Roman" w:eastAsia="Times New Roman"/>
                <w:b/>
                <w:bCs/>
                <w:kern w:val="1"/>
                <w:sz w:val="24"/>
                <w:szCs w:val="24"/>
                <w:lang w:val="uk-ua" w:eastAsia="zh-cn"/>
              </w:rPr>
            </w:pPr>
            <w:r>
              <w:rPr>
                <w:rFonts w:ascii="Times New Roman" w:hAnsi="Times New Roman" w:eastAsia="Times New Roman"/>
                <w:b/>
                <w:bCs/>
                <w:kern w:val="1"/>
                <w:sz w:val="24"/>
                <w:szCs w:val="24"/>
                <w:lang w:val="uk-ua" w:eastAsia="zh-cn"/>
              </w:rPr>
              <w:t>ВЕБ-КАМЕРА LOGITECH GROUP VIDEO CONFERENCING SYSTEM (960-001057) або еквівалент</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kern w:val="1"/>
                <w:sz w:val="24"/>
                <w:szCs w:val="24"/>
                <w:shd w:val="clear" w:fill="ffffff"/>
                <w:lang w:val="uk-ua"/>
              </w:rPr>
            </w:pPr>
            <w:r>
              <w:rPr>
                <w:rFonts w:ascii="Times New Roman" w:hAnsi="Times New Roman"/>
                <w:b/>
                <w:sz w:val="24"/>
                <w:szCs w:val="24"/>
                <w:shd w:val="clear" w:fill="ffffff"/>
              </w:rPr>
              <w:t xml:space="preserve">КЛАСИФІКАЦІЯ ЗА ДК 021:2015 – </w:t>
            </w:r>
            <w:r>
              <w:rPr>
                <w:rFonts w:ascii="Times New Roman" w:hAnsi="Times New Roman"/>
                <w:b/>
                <w:kern w:val="1"/>
                <w:sz w:val="24"/>
                <w:szCs w:val="24"/>
                <w:shd w:val="clear" w:fill="ffffff"/>
                <w:lang w:val="uk-ua"/>
              </w:rPr>
              <w:t>30230000-0 «КОМП’ЮТЕРНЕ ОБЛАДНАННЯ»</w:t>
            </w:r>
            <w:r>
              <w:rPr>
                <w:rFonts w:ascii="Times New Roman" w:hAnsi="Times New Roman"/>
                <w:b/>
                <w:kern w:val="1"/>
                <w:sz w:val="24"/>
                <w:szCs w:val="24"/>
                <w:shd w:val="clear" w:fill="ffffff"/>
                <w:lang w:val="uk-ua"/>
              </w:rPr>
            </w:r>
          </w:p>
          <w:p>
            <w:pPr>
              <w:spacing w:after="0"/>
              <w:rPr>
                <w:rFonts w:ascii="Times New Roman" w:hAnsi="Times New Roman"/>
                <w:bCs/>
                <w:sz w:val="24"/>
                <w:szCs w:val="24"/>
                <w:lang w:val="uk-ua"/>
              </w:rPr>
            </w:pPr>
            <w:r>
              <w:rPr>
                <w:rFonts w:ascii="Times New Roman" w:hAnsi="Times New Roman"/>
                <w:bCs/>
                <w:sz w:val="24"/>
                <w:szCs w:val="24"/>
                <w:lang w:val="uk-ua"/>
              </w:rPr>
              <w:t>(Код за ЄЗС ДК 021:2015 код 30237240-3 Веб-камери)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both"/>
              <w:rPr>
                <w:rFonts w:ascii="Times New Roman" w:hAnsi="Times New Roman"/>
                <w:sz w:val="24"/>
                <w:szCs w:val="24"/>
                <w:lang w:val="uk-ua"/>
              </w:rPr>
            </w:pPr>
            <w:r>
              <w:rPr>
                <w:rFonts w:ascii="Times New Roman" w:hAnsi="Times New Roman"/>
                <w:b/>
                <w:sz w:val="24"/>
                <w:szCs w:val="24"/>
                <w:lang w:val="uk-ua"/>
              </w:rPr>
              <w:t>Місце поставки товару</w:t>
            </w:r>
            <w:r>
              <w:rPr>
                <w:rFonts w:ascii="Times New Roman" w:hAnsi="Times New Roman"/>
                <w:sz w:val="24"/>
                <w:szCs w:val="24"/>
                <w:lang w:val="uk-ua"/>
              </w:rPr>
              <w:t>: Чернігівська область, місто Чернігів, вул. Захисників України, 4</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3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дати заключення договору до 30.06.2024 року. Допускається дострокова поставка товару</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934" w:type="dxa"/>
            <w:shd w:val="solid" w:color="FFFFFF" tmshd="1677721856, 0, 16777215"/>
            <w:tcMar>
              <w:top w:w="48" w:type="dxa"/>
              <w:left w:w="48" w:type="dxa"/>
              <w:bottom w:w="48" w:type="dxa"/>
              <w:right w:w="48" w:type="dxa"/>
            </w:tcMar>
            <w:tmTcPr id="1711104824"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4824"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934" w:type="dxa"/>
            <w:shd w:val="solid" w:color="FFFFFF" tmshd="1677721856, 0, 16777215"/>
            <w:tcMar>
              <w:top w:w="48" w:type="dxa"/>
              <w:left w:w="48" w:type="dxa"/>
              <w:bottom w:w="48" w:type="dxa"/>
              <w:right w:w="48" w:type="dxa"/>
            </w:tcMar>
            <w:tmTcPr id="1711104824"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Заповнена та підписана форма «Цінова пропозиція»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1</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eastAsia="Times New Roman"/>
                <w:sz w:val="24"/>
                <w:szCs w:val="24"/>
              </w:rPr>
              <w:t>у</w:t>
            </w:r>
            <w:r>
              <w:rPr>
                <w:rFonts w:ascii="Times New Roman" w:hAnsi="Times New Roman" w:eastAsia="Times New Roman"/>
                <w:color w:val="000000"/>
                <w:sz w:val="24"/>
                <w:szCs w:val="24"/>
              </w:rPr>
              <w:t xml:space="preserve">часники при формуванні ціни пропозиції повинні враховувати вимоги </w:t>
            </w:r>
            <w:r>
              <w:rPr>
                <w:rFonts w:ascii="Times New Roman" w:hAnsi="Times New Roman" w:eastAsia="Times New Roman"/>
                <w:sz w:val="24"/>
                <w:szCs w:val="24"/>
              </w:rPr>
              <w:t>п</w:t>
            </w:r>
            <w:r>
              <w:rPr>
                <w:rFonts w:ascii="Times New Roman" w:hAnsi="Times New Roman" w:eastAsia="Times New Roman"/>
                <w:color w:val="000000"/>
                <w:sz w:val="24"/>
                <w:szCs w:val="24"/>
              </w:rPr>
              <w:t>останови Кабінету Міністрів України № 332 від 04.04.2001 р.</w:t>
            </w:r>
            <w:r>
              <w:rPr>
                <w:rFonts w:ascii="Times New Roman" w:hAnsi="Times New Roman" w:eastAsia="Times New Roman"/>
                <w:color w:val="000000"/>
                <w:sz w:val="24"/>
                <w:szCs w:val="24"/>
              </w:rPr>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4824" protected="0"/>
          </w:tcPr>
          <w:p>
            <w:pPr>
              <w:ind w:hanging="2"/>
              <w:spacing/>
              <w:jc w:val="both"/>
              <w:widowControl w:val="0"/>
            </w:pPr>
            <w:r>
              <w:rPr>
                <w:rFonts w:ascii="Times New Roman" w:hAnsi="Times New Roman"/>
              </w:rPr>
              <w:t>Забезпечення тендерної пропозиції</w:t>
            </w:r>
            <w:r/>
          </w:p>
        </w:tc>
        <w:tc>
          <w:tcPr>
            <w:tcW w:w="5934" w:type="dxa"/>
            <w:shd w:val="solid" w:color="FFFFFF" tmshd="1677721856, 0, 16777215"/>
            <w:tcMar>
              <w:top w:w="48" w:type="dxa"/>
              <w:left w:w="48" w:type="dxa"/>
              <w:bottom w:w="48" w:type="dxa"/>
              <w:right w:w="48" w:type="dxa"/>
            </w:tcMar>
            <w:tmTcPr id="1711104824" protected="0"/>
          </w:tcPr>
          <w:p>
            <w:pPr>
              <w:ind w:hanging="2"/>
            </w:pPr>
            <w:r>
              <w:rPr>
                <w:rFonts w:ascii="Times New Roman" w:hAnsi="Times New Roman"/>
              </w:rPr>
              <w:t>Не вимагається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ind w:hanging="2"/>
              <w:widowControl w:val="0"/>
            </w:pPr>
            <w:r>
              <w:rPr>
                <w:rFonts w:ascii="Times New Roman" w:hAnsi="Times New Roman"/>
                <w:lang w:val="uk-ua"/>
              </w:rPr>
              <w:t xml:space="preserve">   </w:t>
            </w:r>
            <w:r>
              <w:rPr>
                <w:rFonts w:ascii="Times New Roman" w:hAnsi="Times New Roman"/>
              </w:rPr>
              <w:t>3</w:t>
            </w:r>
            <w:r/>
          </w:p>
        </w:tc>
        <w:tc>
          <w:tcPr>
            <w:tcW w:w="2920" w:type="dxa"/>
            <w:shd w:val="solid" w:color="FFFFFF" tmshd="1677721856, 0, 16777215"/>
            <w:tcMar>
              <w:top w:w="48" w:type="dxa"/>
              <w:left w:w="48" w:type="dxa"/>
              <w:bottom w:w="48" w:type="dxa"/>
              <w:right w:w="48" w:type="dxa"/>
            </w:tcMar>
            <w:tmTcPr id="1711104824"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934" w:type="dxa"/>
            <w:shd w:val="solid" w:color="FFFFFF" tmshd="1677721856, 0, 16777215"/>
            <w:tcMar>
              <w:top w:w="48" w:type="dxa"/>
              <w:left w:w="48" w:type="dxa"/>
              <w:bottom w:w="48" w:type="dxa"/>
              <w:right w:w="48" w:type="dxa"/>
            </w:tcMar>
            <w:tmTcPr id="1711104824" protected="0"/>
          </w:tcPr>
          <w:p>
            <w:pPr>
              <w:ind w:hanging="2"/>
            </w:pPr>
            <w:r>
              <w:rPr>
                <w:rFonts w:ascii="Times New Roman" w:hAnsi="Times New Roman"/>
              </w:rPr>
              <w:t>Не передбачається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ind w:hanging="2"/>
              <w:widowControl w:val="0"/>
            </w:pPr>
            <w:r>
              <w:rPr>
                <w:rFonts w:ascii="Times New Roman" w:hAnsi="Times New Roman"/>
                <w:lang w:val="uk-ua"/>
              </w:rPr>
              <w:t xml:space="preserve">   </w:t>
            </w:r>
            <w:r>
              <w:rPr>
                <w:rFonts w:ascii="Times New Roman" w:hAnsi="Times New Roman"/>
              </w:rPr>
              <w:t>4</w:t>
            </w:r>
            <w:r/>
          </w:p>
        </w:tc>
        <w:tc>
          <w:tcPr>
            <w:tcW w:w="2920" w:type="dxa"/>
            <w:shd w:val="solid" w:color="FFFFFF" tmshd="1677721856, 0, 16777215"/>
            <w:tcMar>
              <w:top w:w="48" w:type="dxa"/>
              <w:left w:w="48" w:type="dxa"/>
              <w:bottom w:w="48" w:type="dxa"/>
              <w:right w:w="48" w:type="dxa"/>
            </w:tcMar>
            <w:tmTcPr id="1711104824"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934" w:type="dxa"/>
            <w:shd w:val="solid" w:color="FFFFFF" tmshd="1677721856, 0, 16777215"/>
            <w:tcMar>
              <w:top w:w="48" w:type="dxa"/>
              <w:left w:w="48" w:type="dxa"/>
              <w:bottom w:w="48" w:type="dxa"/>
              <w:right w:w="48" w:type="dxa"/>
            </w:tcMar>
            <w:tmTcPr id="1711104824"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ind w:hanging="2"/>
              <w:widowControl w:val="0"/>
            </w:pPr>
            <w:r>
              <w:rPr>
                <w:rFonts w:ascii="Times New Roman" w:hAnsi="Times New Roman"/>
              </w:rPr>
              <w:t>5</w:t>
            </w:r>
            <w:r/>
          </w:p>
        </w:tc>
        <w:tc>
          <w:tcPr>
            <w:tcW w:w="2920" w:type="dxa"/>
            <w:shd w:val="solid" w:color="FFFFFF" tmshd="1677721856, 0, 16777215"/>
            <w:tcMar>
              <w:top w:w="48" w:type="dxa"/>
              <w:left w:w="48" w:type="dxa"/>
              <w:bottom w:w="48" w:type="dxa"/>
              <w:right w:w="48" w:type="dxa"/>
            </w:tcMar>
            <w:tmTcPr id="1711104824"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5934" w:type="dxa"/>
            <w:vAlign w:val="center"/>
            <w:shd w:val="solid" w:color="FFFFFF" tmshd="1677721856, 0, 16777215"/>
            <w:tcMar>
              <w:top w:w="48" w:type="dxa"/>
              <w:left w:w="48" w:type="dxa"/>
              <w:bottom w:w="48" w:type="dxa"/>
              <w:right w:w="48" w:type="dxa"/>
            </w:tcMar>
            <w:tmTcPr id="1711104824"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sz w:val="24"/>
                <w:szCs w:val="24"/>
                <w:lang w:val="uk-ua"/>
              </w:rPr>
              <w:t xml:space="preserve"> </w:t>
            </w:r>
            <w:r>
              <w:rPr>
                <w:rFonts w:ascii="Times New Roman" w:hAnsi="Times New Roman" w:eastAsia="Times New Roman"/>
                <w:b/>
                <w:i/>
                <w:sz w:val="24"/>
                <w:szCs w:val="24"/>
                <w:lang w:val="uk-ua"/>
              </w:rPr>
              <w:t>Додатку 2</w:t>
            </w:r>
            <w:r>
              <w:rPr>
                <w:rFonts w:ascii="Times New Roman" w:hAnsi="Times New Roman" w:eastAsia="Times New Roman"/>
                <w:sz w:val="24"/>
                <w:szCs w:val="24"/>
                <w:lang w:val="uk-ua"/>
              </w:rPr>
              <w:t xml:space="preserve"> до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934" w:type="dxa"/>
            <w:shd w:val="solid" w:color="FFFFFF" tmshd="1677721856, 0, 16777215"/>
            <w:tcMar>
              <w:top w:w="48" w:type="dxa"/>
              <w:left w:w="48" w:type="dxa"/>
              <w:bottom w:w="48" w:type="dxa"/>
              <w:right w:w="48" w:type="dxa"/>
            </w:tcMar>
            <w:tmTcPr id="1711104824"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товару</w:t>
            </w:r>
          </w:p>
        </w:tc>
        <w:tc>
          <w:tcPr>
            <w:tcW w:w="5934" w:type="dxa"/>
            <w:shd w:val="solid" w:color="FFFFFF" tmshd="1677721856, 0, 16777215"/>
            <w:tcMar>
              <w:top w:w="48" w:type="dxa"/>
              <w:left w:w="48" w:type="dxa"/>
              <w:bottom w:w="48" w:type="dxa"/>
              <w:right w:w="48" w:type="dxa"/>
            </w:tcMar>
            <w:tmTcPr id="1711104824"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61 000 (шістдесят одна тисяча грн) 00 коп з ПДВ</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sz w:val="24"/>
                <w:szCs w:val="24"/>
                <w:lang w:val="uk-ua" w:eastAsia="ru-ru"/>
              </w:rPr>
              <w:t xml:space="preserve">                                         до 30.03.2024 року </w:t>
            </w:r>
            <w:r>
              <w:rPr>
                <w:rFonts w:ascii="Times New Roman" w:hAnsi="Times New Roman" w:eastAsia="Times New Roman"/>
                <w:b/>
                <w:iCs/>
                <w:sz w:val="24"/>
                <w:szCs w:val="24"/>
                <w:lang w:val="uk-ua" w:eastAsia="ru-ru"/>
              </w:rPr>
              <w:t xml:space="preserve">(до </w:t>
            </w:r>
            <w:r>
              <w:rPr>
                <w:rFonts w:ascii="Times New Roman" w:hAnsi="Times New Roman" w:eastAsia="Times New Roman"/>
                <w:b/>
                <w:iCs/>
                <w:sz w:val="24"/>
                <w:szCs w:val="24"/>
                <w:lang w:val="uk-ua" w:eastAsia="ru-ru"/>
              </w:rPr>
              <w:t>08</w:t>
            </w:r>
            <w:r>
              <w:rPr>
                <w:rFonts w:ascii="Times New Roman" w:hAnsi="Times New Roman" w:eastAsia="Times New Roman"/>
                <w:b/>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934" w:type="dxa"/>
            <w:shd w:val="solid" w:color="FFFFFF" tmshd="1677721856, 0, 16777215"/>
            <w:tcMar>
              <w:top w:w="48" w:type="dxa"/>
              <w:left w:w="48" w:type="dxa"/>
              <w:bottom w:w="48" w:type="dxa"/>
              <w:right w:w="48" w:type="dxa"/>
            </w:tcMar>
            <w:tmTcPr id="1711104824"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934" w:type="dxa"/>
            <w:shd w:val="solid" w:color="FFFFFF" tmshd="1677721856, 0, 16777215"/>
            <w:tcMar>
              <w:top w:w="48" w:type="dxa"/>
              <w:left w:w="48" w:type="dxa"/>
              <w:bottom w:w="48" w:type="dxa"/>
              <w:right w:w="48" w:type="dxa"/>
            </w:tcMar>
            <w:tmTcPr id="1711104824"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4</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934" w:type="dxa"/>
            <w:shd w:val="solid" w:color="FFFFFF" tmshd="1677721856, 0, 16777215"/>
            <w:tcMar>
              <w:top w:w="48" w:type="dxa"/>
              <w:left w:w="48" w:type="dxa"/>
              <w:bottom w:w="48" w:type="dxa"/>
              <w:right w:w="48" w:type="dxa"/>
            </w:tcMar>
            <w:tmTcPr id="1711104824"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 xml:space="preserve"> Ісламської Республіки Іран</w:t>
            </w:r>
            <w:r>
              <w:rPr>
                <w:rFonts w:ascii="Times New Roman" w:hAnsi="Times New Roman" w:eastAsia="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br w:type="textWrapping"/>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10482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934" w:type="dxa"/>
            <w:shd w:val="solid" w:color="FFFFFF" tmshd="1677721856, 0, 16777215"/>
            <w:tcMar>
              <w:top w:w="48" w:type="dxa"/>
              <w:left w:w="48" w:type="dxa"/>
              <w:bottom w:w="48" w:type="dxa"/>
              <w:right w:w="48" w:type="dxa"/>
            </w:tcMar>
            <w:tmTcPr id="1711104824"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934" w:type="dxa"/>
            <w:shd w:val="solid" w:color="FFFFFF" tmshd="1677721856, 0, 16777215"/>
            <w:tcMar>
              <w:top w:w="48" w:type="dxa"/>
              <w:left w:w="48" w:type="dxa"/>
              <w:bottom w:w="48" w:type="dxa"/>
              <w:right w:w="48" w:type="dxa"/>
            </w:tcMar>
            <w:tmTcPr id="1711104824"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934" w:type="dxa"/>
            <w:vAlign w:val="center"/>
            <w:shd w:val="solid" w:color="FFFFFF" tmshd="1677721856, 0, 16777215"/>
            <w:tcMar>
              <w:top w:w="48" w:type="dxa"/>
              <w:left w:w="48" w:type="dxa"/>
              <w:bottom w:w="48" w:type="dxa"/>
              <w:right w:w="48" w:type="dxa"/>
            </w:tcMar>
            <w:tmTcPr id="1711104824"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4</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934" w:type="dxa"/>
            <w:shd w:val="solid" w:color="FFFFFF" tmshd="1677721856, 0, 16777215"/>
            <w:tcMar>
              <w:top w:w="48" w:type="dxa"/>
              <w:left w:w="48" w:type="dxa"/>
              <w:bottom w:w="48" w:type="dxa"/>
              <w:right w:w="48" w:type="dxa"/>
            </w:tcMar>
            <w:tmTcPr id="1711104824"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0" w:name="n510"/>
            <w:r/>
            <w:bookmarkEnd w:id="0"/>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 w:name="n511"/>
            <w:r/>
            <w:bookmarkEnd w:id="1"/>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2"/>
            <w:r/>
            <w:bookmarkEnd w:id="2"/>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3"/>
            <w:r/>
            <w:bookmarkEnd w:id="3"/>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4"/>
            <w:r/>
            <w:bookmarkEnd w:id="4"/>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5"/>
            <w:r/>
            <w:bookmarkEnd w:id="5"/>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6"/>
            <w:r/>
            <w:bookmarkEnd w:id="6"/>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7"/>
            <w:r/>
            <w:bookmarkEnd w:id="7"/>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8" w:name="n753"/>
            <w:r/>
            <w:bookmarkEnd w:id="8"/>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9" w:name="n754"/>
            <w:r/>
            <w:bookmarkEnd w:id="9"/>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0" w:name="n518"/>
            <w:r/>
            <w:bookmarkEnd w:id="10"/>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10482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934" w:type="dxa"/>
            <w:shd w:val="solid" w:color="FFFFFF" tmshd="1677721856, 0, 16777215"/>
            <w:tcMar>
              <w:top w:w="48" w:type="dxa"/>
              <w:left w:w="48" w:type="dxa"/>
              <w:bottom w:w="48" w:type="dxa"/>
              <w:right w:w="48" w:type="dxa"/>
            </w:tcMar>
            <w:tmTcPr id="171110482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6"/>
    <w:tmLastPosCaret>
      <w:tmLastPosPgfIdx w:val="0"/>
      <w:tmLastPosIdx w:val="30"/>
    </w:tmLastPosCaret>
    <w:tmLastPosAnchor>
      <w:tmLastPosPgfIdx w:val="0"/>
      <w:tmLastPosIdx w:val="0"/>
    </w:tmLastPosAnchor>
    <w:tmLastPosTblRect w:left="0" w:top="0" w:right="0" w:bottom="0"/>
  </w:tmLastPos>
  <w:tmAppRevision w:date="1711104824"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10</cp:revision>
  <cp:lastPrinted>2024-03-22T09:59:09Z</cp:lastPrinted>
  <dcterms:created xsi:type="dcterms:W3CDTF">2023-11-27T19:39:00Z</dcterms:created>
  <dcterms:modified xsi:type="dcterms:W3CDTF">2024-03-22T09:53:44Z</dcterms:modified>
</cp:coreProperties>
</file>