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5D06AE57"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3F7C3C">
        <w:rPr>
          <w:rFonts w:ascii="Times New Roman" w:eastAsia="Times New Roman" w:hAnsi="Times New Roman"/>
          <w:sz w:val="24"/>
          <w:szCs w:val="24"/>
          <w:lang w:eastAsia="ru-RU"/>
        </w:rPr>
        <w:t>3 8</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3F7C3C">
        <w:rPr>
          <w:rFonts w:ascii="Times New Roman" w:hAnsi="Times New Roman"/>
          <w:sz w:val="24"/>
          <w:szCs w:val="24"/>
        </w:rPr>
        <w:t>три</w:t>
      </w:r>
      <w:r w:rsidR="00521F78" w:rsidRPr="00D91979">
        <w:rPr>
          <w:rFonts w:ascii="Times New Roman" w:hAnsi="Times New Roman"/>
          <w:sz w:val="24"/>
          <w:szCs w:val="24"/>
        </w:rPr>
        <w:t xml:space="preserve"> тисяч</w:t>
      </w:r>
      <w:r w:rsidR="003F7C3C">
        <w:rPr>
          <w:rFonts w:ascii="Times New Roman" w:hAnsi="Times New Roman"/>
          <w:sz w:val="24"/>
          <w:szCs w:val="24"/>
        </w:rPr>
        <w:t>і</w:t>
      </w:r>
      <w:r w:rsidR="00521F78" w:rsidRPr="00D91979">
        <w:rPr>
          <w:rFonts w:ascii="Times New Roman" w:hAnsi="Times New Roman"/>
          <w:sz w:val="24"/>
          <w:szCs w:val="24"/>
        </w:rPr>
        <w:t xml:space="preserve"> </w:t>
      </w:r>
      <w:r w:rsidR="003F7C3C">
        <w:rPr>
          <w:rFonts w:ascii="Times New Roman" w:hAnsi="Times New Roman"/>
          <w:sz w:val="24"/>
          <w:szCs w:val="24"/>
        </w:rPr>
        <w:t>вісімсот</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645B3012"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033F4" w:rsidRPr="00D91979">
        <w:rPr>
          <w:rFonts w:ascii="Times New Roman" w:eastAsia="Times New Roman" w:hAnsi="Times New Roman"/>
          <w:sz w:val="24"/>
          <w:szCs w:val="24"/>
          <w:lang w:eastAsia="ru-RU"/>
        </w:rPr>
        <w:t>5</w:t>
      </w:r>
      <w:r w:rsidR="00DE1E16" w:rsidRPr="00D91979">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23131C1"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3F7C3C" w:rsidRPr="003F7C3C">
        <w:rPr>
          <w:rFonts w:ascii="Times New Roman" w:eastAsia="Times New Roman" w:hAnsi="Times New Roman"/>
          <w:b/>
          <w:i/>
          <w:spacing w:val="-4"/>
          <w:sz w:val="24"/>
          <w:szCs w:val="24"/>
          <w:lang w:eastAsia="ru-RU"/>
        </w:rPr>
        <w:t>18520000-0 – Персональні хронометри</w:t>
      </w:r>
      <w:r w:rsidRPr="00D91979">
        <w:rPr>
          <w:rFonts w:ascii="Times New Roman" w:eastAsia="Times New Roman" w:hAnsi="Times New Roman"/>
          <w:spacing w:val="-4"/>
          <w:sz w:val="24"/>
          <w:szCs w:val="24"/>
          <w:lang w:eastAsia="ru-RU"/>
        </w:rPr>
        <w:t>, а саме:</w:t>
      </w:r>
    </w:p>
    <w:p w14:paraId="1D5A06F6" w14:textId="3EB2EA71" w:rsidR="009A1177" w:rsidRPr="00D91979" w:rsidRDefault="003F7C3C" w:rsidP="009A1177">
      <w:pPr>
        <w:tabs>
          <w:tab w:val="num" w:pos="0"/>
        </w:tabs>
        <w:spacing w:after="0" w:line="240" w:lineRule="auto"/>
        <w:ind w:firstLine="709"/>
        <w:jc w:val="both"/>
        <w:rPr>
          <w:rFonts w:ascii="Times New Roman" w:hAnsi="Times New Roman"/>
          <w:sz w:val="24"/>
          <w:szCs w:val="24"/>
        </w:rPr>
      </w:pPr>
      <w:r w:rsidRPr="003F7C3C">
        <w:rPr>
          <w:rFonts w:ascii="Times New Roman" w:hAnsi="Times New Roman"/>
          <w:sz w:val="24"/>
          <w:szCs w:val="24"/>
        </w:rPr>
        <w:t>Секундомір механічний "Агат"</w:t>
      </w:r>
      <w:r w:rsidR="006B5028" w:rsidRPr="00D91979">
        <w:rPr>
          <w:rFonts w:ascii="Times New Roman" w:hAnsi="Times New Roman"/>
          <w:sz w:val="24"/>
          <w:szCs w:val="24"/>
        </w:rPr>
        <w:t xml:space="preserve">– </w:t>
      </w:r>
      <w:r>
        <w:rPr>
          <w:rFonts w:ascii="Times New Roman" w:hAnsi="Times New Roman"/>
          <w:sz w:val="24"/>
          <w:szCs w:val="24"/>
        </w:rPr>
        <w:t>2</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DE1E16" w:rsidRPr="00D91979">
        <w:rPr>
          <w:rFonts w:ascii="Times New Roman" w:eastAsia="Times New Roman" w:hAnsi="Times New Roman"/>
          <w:b/>
          <w:bCs/>
          <w:sz w:val="24"/>
          <w:szCs w:val="24"/>
          <w:lang w:eastAsia="ru-RU"/>
        </w:rPr>
        <w:t>2</w:t>
      </w:r>
      <w:r w:rsidR="009A1177" w:rsidRPr="00D91979">
        <w:rPr>
          <w:rFonts w:ascii="Times New Roman" w:eastAsia="Times New Roman" w:hAnsi="Times New Roman"/>
          <w:b/>
          <w:bCs/>
          <w:sz w:val="24"/>
          <w:szCs w:val="24"/>
          <w:lang w:eastAsia="ru-RU"/>
        </w:rPr>
        <w:t>5</w:t>
      </w:r>
      <w:r w:rsidRPr="00D91979">
        <w:rPr>
          <w:rFonts w:ascii="Times New Roman" w:eastAsia="Times New Roman" w:hAnsi="Times New Roman"/>
          <w:b/>
          <w:bCs/>
          <w:sz w:val="24"/>
          <w:szCs w:val="24"/>
          <w:lang w:eastAsia="ru-RU"/>
        </w:rPr>
        <w:t>.05.2024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2C10A195"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EF3E89">
        <w:rPr>
          <w:rFonts w:ascii="Times New Roman" w:eastAsia="Courier New" w:hAnsi="Times New Roman"/>
          <w:bCs/>
          <w:sz w:val="24"/>
          <w:szCs w:val="24"/>
          <w:lang w:eastAsia="uk-UA"/>
        </w:rPr>
        <w:t>2</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 xml:space="preserve">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D6556A">
        <w:rPr>
          <w:color w:val="000000"/>
          <w:lang w:val="uk-UA"/>
        </w:rPr>
        <w:lastRenderedPageBreak/>
        <w:t>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w:t>
      </w:r>
      <w:r w:rsidRPr="00D6556A">
        <w:rPr>
          <w:rFonts w:ascii="Times New Roman" w:eastAsia="Times New Roman" w:hAnsi="Times New Roman"/>
          <w:sz w:val="24"/>
          <w:szCs w:val="24"/>
          <w:lang w:eastAsia="ru-RU"/>
        </w:rPr>
        <w:lastRenderedPageBreak/>
        <w:t>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внесено до Єдиного </w:t>
      </w:r>
      <w:r w:rsidRPr="00D6556A">
        <w:rPr>
          <w:rFonts w:ascii="Times New Roman" w:eastAsia="Times New Roman" w:hAnsi="Times New Roman"/>
          <w:sz w:val="24"/>
          <w:szCs w:val="24"/>
          <w:lang w:eastAsia="ru-RU"/>
        </w:rPr>
        <w:lastRenderedPageBreak/>
        <w:t>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1C29B6">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C29B6"/>
    <w:rsid w:val="002020EA"/>
    <w:rsid w:val="002604CE"/>
    <w:rsid w:val="002A5C57"/>
    <w:rsid w:val="00365BAD"/>
    <w:rsid w:val="003F7C3C"/>
    <w:rsid w:val="00422F51"/>
    <w:rsid w:val="0052030C"/>
    <w:rsid w:val="00521F78"/>
    <w:rsid w:val="00527A48"/>
    <w:rsid w:val="00600C6B"/>
    <w:rsid w:val="00644060"/>
    <w:rsid w:val="00694198"/>
    <w:rsid w:val="006B5028"/>
    <w:rsid w:val="00746945"/>
    <w:rsid w:val="008033F4"/>
    <w:rsid w:val="00837039"/>
    <w:rsid w:val="00854473"/>
    <w:rsid w:val="008845D6"/>
    <w:rsid w:val="00885924"/>
    <w:rsid w:val="008F0D70"/>
    <w:rsid w:val="009A1177"/>
    <w:rsid w:val="009A17C3"/>
    <w:rsid w:val="00A32ECA"/>
    <w:rsid w:val="00A34EE3"/>
    <w:rsid w:val="00A77598"/>
    <w:rsid w:val="00AA03D5"/>
    <w:rsid w:val="00B756C1"/>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13321</Words>
  <Characters>7594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18</cp:revision>
  <cp:lastPrinted>2024-04-08T13:07:00Z</cp:lastPrinted>
  <dcterms:created xsi:type="dcterms:W3CDTF">2024-03-19T16:23:00Z</dcterms:created>
  <dcterms:modified xsi:type="dcterms:W3CDTF">2024-04-12T06:33:00Z</dcterms:modified>
</cp:coreProperties>
</file>