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431993" w:rsidP="002F3867">
      <w:pPr>
        <w:widowControl w:val="0"/>
        <w:adjustRightInd w:val="0"/>
        <w:spacing w:before="120"/>
        <w:ind w:left="5670"/>
        <w:rPr>
          <w:rFonts w:ascii="Times New Roman" w:hAnsi="Times New Roman"/>
          <w:b/>
          <w:bCs/>
          <w:sz w:val="24"/>
          <w:szCs w:val="24"/>
          <w:lang w:val="ru-RU"/>
        </w:rPr>
      </w:pPr>
      <w:r w:rsidRPr="004B29F7">
        <w:rPr>
          <w:rFonts w:ascii="Times New Roman" w:hAnsi="Times New Roman"/>
          <w:sz w:val="24"/>
          <w:szCs w:val="24"/>
          <w:lang w:val="ru-RU"/>
        </w:rPr>
        <w:t>2</w:t>
      </w:r>
      <w:r w:rsidR="00046247">
        <w:rPr>
          <w:rFonts w:ascii="Times New Roman" w:hAnsi="Times New Roman"/>
          <w:sz w:val="24"/>
          <w:szCs w:val="24"/>
          <w:lang w:val="ru-RU"/>
        </w:rPr>
        <w:t>2</w:t>
      </w:r>
      <w:r w:rsidR="005677A9" w:rsidRPr="004B29F7">
        <w:rPr>
          <w:rFonts w:ascii="Times New Roman" w:hAnsi="Times New Roman"/>
          <w:sz w:val="24"/>
          <w:szCs w:val="24"/>
          <w:lang w:val="ru-RU"/>
        </w:rPr>
        <w:t xml:space="preserve"> </w:t>
      </w:r>
      <w:r w:rsidR="009F629F" w:rsidRPr="004B29F7">
        <w:rPr>
          <w:rFonts w:ascii="Times New Roman" w:hAnsi="Times New Roman"/>
          <w:sz w:val="24"/>
          <w:szCs w:val="24"/>
          <w:lang w:val="ru-RU"/>
        </w:rPr>
        <w:t>лютого</w:t>
      </w:r>
      <w:r w:rsidR="002F3867" w:rsidRPr="004B29F7">
        <w:rPr>
          <w:rFonts w:ascii="Times New Roman" w:hAnsi="Times New Roman"/>
          <w:sz w:val="24"/>
          <w:szCs w:val="24"/>
          <w:lang w:val="ru-RU"/>
        </w:rPr>
        <w:t xml:space="preserve"> 202</w:t>
      </w:r>
      <w:r w:rsidR="00335578" w:rsidRPr="004B29F7">
        <w:rPr>
          <w:rFonts w:ascii="Times New Roman" w:hAnsi="Times New Roman"/>
          <w:sz w:val="24"/>
          <w:szCs w:val="24"/>
          <w:lang w:val="ru-RU"/>
        </w:rPr>
        <w:t>3</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sidR="009F629F" w:rsidRPr="004B29F7">
        <w:rPr>
          <w:rFonts w:ascii="Times New Roman" w:hAnsi="Times New Roman"/>
          <w:sz w:val="24"/>
          <w:szCs w:val="24"/>
          <w:lang w:val="ru-RU"/>
        </w:rPr>
        <w:t>1</w:t>
      </w:r>
      <w:r w:rsidR="00046247">
        <w:rPr>
          <w:rFonts w:ascii="Times New Roman" w:hAnsi="Times New Roman"/>
          <w:sz w:val="24"/>
          <w:szCs w:val="24"/>
          <w:lang w:val="ru-RU"/>
        </w:rPr>
        <w:t>8</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p>
          <w:p w:rsidR="00CC4098" w:rsidRPr="004B29F7" w:rsidRDefault="00CC4098" w:rsidP="004654D6">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p w:rsidR="00BA1DD2" w:rsidRPr="004958FF"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ДК 021:2015:</w:t>
            </w:r>
            <w:r w:rsidR="004958FF">
              <w:rPr>
                <w:bCs/>
              </w:rPr>
              <w:t xml:space="preserve"> </w:t>
            </w:r>
            <w:r w:rsidR="004958FF"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p>
          <w:p w:rsidR="00984F9B" w:rsidRPr="004B29F7"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w:t>
            </w:r>
            <w:r w:rsidR="004958FF" w:rsidRPr="004958FF">
              <w:rPr>
                <w:rFonts w:ascii="Times New Roman" w:hAnsi="Times New Roman"/>
                <w:b/>
                <w:bCs/>
                <w:sz w:val="24"/>
                <w:szCs w:val="24"/>
              </w:rPr>
              <w:t>запасні частини до вантажних транспортних засобів та легкових автомобілів</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335578" w:rsidRPr="004B29F7">
        <w:rPr>
          <w:rFonts w:ascii="Times New Roman" w:eastAsia="Times New Roman" w:hAnsi="Times New Roman"/>
          <w:b/>
          <w:bCs/>
          <w:sz w:val="24"/>
          <w:szCs w:val="24"/>
          <w:lang w:eastAsia="ru-RU"/>
        </w:rPr>
        <w:t>3</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984F9B" w:rsidRPr="004B29F7" w:rsidTr="00486983">
        <w:trPr>
          <w:trHeight w:val="1281"/>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4B29F7" w:rsidRDefault="00984F9B" w:rsidP="00380093">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B29F7">
              <w:rPr>
                <w:rFonts w:ascii="Times New Roman" w:eastAsia="Times New Roman" w:hAnsi="Times New Roman"/>
                <w:sz w:val="24"/>
                <w:szCs w:val="24"/>
                <w:lang w:eastAsia="uk-UA"/>
              </w:rPr>
              <w:t xml:space="preserve"> – Закон)</w:t>
            </w:r>
            <w:r w:rsidR="00FB5526" w:rsidRPr="004B29F7">
              <w:rPr>
                <w:rFonts w:ascii="Times New Roman" w:eastAsia="Times New Roman" w:hAnsi="Times New Roman"/>
                <w:sz w:val="24"/>
                <w:szCs w:val="24"/>
                <w:lang w:eastAsia="uk-UA"/>
              </w:rPr>
              <w:t xml:space="preserve"> </w:t>
            </w:r>
            <w:r w:rsidR="00E735D3" w:rsidRPr="004B29F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Терміни</w:t>
            </w:r>
            <w:r w:rsidR="00380093" w:rsidRPr="004B29F7">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4B29F7">
              <w:rPr>
                <w:rFonts w:ascii="Times New Roman" w:eastAsia="Times New Roman" w:hAnsi="Times New Roman"/>
                <w:sz w:val="24"/>
                <w:szCs w:val="24"/>
                <w:lang w:eastAsia="uk-UA"/>
              </w:rPr>
              <w:t>.</w:t>
            </w:r>
          </w:p>
        </w:tc>
      </w:tr>
      <w:tr w:rsidR="00984F9B" w:rsidRPr="004B29F7" w:rsidTr="00486983">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A02939" w:rsidRPr="004B29F7" w:rsidTr="008A255C">
        <w:trPr>
          <w:trHeight w:val="419"/>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4B29F7" w:rsidRDefault="00A02939" w:rsidP="00046247">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Інститут картоплярства Національної академії аграрних наук України.</w:t>
            </w:r>
          </w:p>
        </w:tc>
      </w:tr>
      <w:tr w:rsidR="00A02939" w:rsidRPr="004B29F7" w:rsidTr="00C03323">
        <w:trPr>
          <w:trHeight w:val="553"/>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02939" w:rsidRPr="004B29F7" w:rsidRDefault="00A02939" w:rsidP="00E77829">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Юридична адреса: смт. Немішаєве, Бучанський район, Київська область, 07853</w:t>
            </w:r>
          </w:p>
        </w:tc>
      </w:tr>
      <w:tr w:rsidR="00A02939" w:rsidRPr="004B29F7" w:rsidTr="00A44D8C">
        <w:trPr>
          <w:trHeight w:val="1163"/>
        </w:trPr>
        <w:tc>
          <w:tcPr>
            <w:tcW w:w="2835" w:type="dxa"/>
            <w:tcBorders>
              <w:bottom w:val="single" w:sz="4" w:space="0" w:color="auto"/>
            </w:tcBorders>
          </w:tcPr>
          <w:p w:rsidR="00A02939" w:rsidRPr="004B29F7" w:rsidRDefault="00A02939"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4B29F7" w:rsidRDefault="00A02939" w:rsidP="00046247">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4B29F7" w:rsidRDefault="00A02939" w:rsidP="00046247">
            <w:pPr>
              <w:widowControl w:val="0"/>
              <w:tabs>
                <w:tab w:val="left" w:pos="585"/>
              </w:tabs>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Номер телефону: +380457741205.</w:t>
            </w:r>
          </w:p>
          <w:p w:rsidR="00A02939" w:rsidRPr="004B29F7" w:rsidRDefault="00A02939" w:rsidP="00046247">
            <w:pPr>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Електронна адреса: ekonomikaik.2017@gmail.com.</w:t>
            </w:r>
          </w:p>
        </w:tc>
      </w:tr>
      <w:tr w:rsidR="00984F9B" w:rsidRPr="004B29F7" w:rsidTr="00486983">
        <w:trPr>
          <w:trHeight w:val="505"/>
        </w:trPr>
        <w:tc>
          <w:tcPr>
            <w:tcW w:w="2835" w:type="dxa"/>
            <w:tcBorders>
              <w:top w:val="single" w:sz="4" w:space="0" w:color="auto"/>
            </w:tcBorders>
          </w:tcPr>
          <w:p w:rsidR="00984F9B" w:rsidRPr="004B29F7" w:rsidRDefault="00984F9B"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4B29F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29F7">
              <w:rPr>
                <w:rFonts w:ascii="Times New Roman" w:hAnsi="Times New Roman"/>
                <w:sz w:val="24"/>
                <w:szCs w:val="24"/>
                <w:lang w:eastAsia="uk-UA"/>
              </w:rPr>
              <w:t>Ві</w:t>
            </w:r>
            <w:r w:rsidR="00E735D3" w:rsidRPr="004B29F7">
              <w:rPr>
                <w:rFonts w:ascii="Times New Roman" w:hAnsi="Times New Roman"/>
                <w:sz w:val="24"/>
                <w:szCs w:val="24"/>
                <w:lang w:eastAsia="uk-UA"/>
              </w:rPr>
              <w:t>дкриті торги</w:t>
            </w:r>
            <w:r w:rsidR="00994B6C" w:rsidRPr="004B29F7">
              <w:rPr>
                <w:rFonts w:ascii="Times New Roman" w:hAnsi="Times New Roman"/>
                <w:sz w:val="24"/>
                <w:szCs w:val="24"/>
                <w:lang w:eastAsia="uk-UA"/>
              </w:rPr>
              <w:t xml:space="preserve">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85295F" w:rsidP="0054501D">
            <w:pPr>
              <w:widowControl w:val="0"/>
              <w:tabs>
                <w:tab w:val="left" w:pos="585"/>
              </w:tabs>
              <w:ind w:firstLine="281"/>
              <w:jc w:val="both"/>
              <w:rPr>
                <w:rFonts w:ascii="Times New Roman" w:hAnsi="Times New Roman"/>
                <w:color w:val="000000"/>
                <w:sz w:val="24"/>
                <w:szCs w:val="24"/>
                <w:shd w:val="clear" w:color="auto" w:fill="FFFFFF"/>
              </w:rPr>
            </w:pPr>
            <w:r w:rsidRPr="004958FF">
              <w:rPr>
                <w:rFonts w:ascii="Times New Roman" w:hAnsi="Times New Roman"/>
                <w:b/>
                <w:bCs/>
                <w:sz w:val="24"/>
                <w:szCs w:val="24"/>
              </w:rPr>
              <w:t>запасні частини до вантажних транспортних засобів та легкових автомобілів</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85295F"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Pr="004B29F7">
              <w:rPr>
                <w:rFonts w:ascii="Times New Roman" w:hAnsi="Times New Roman"/>
                <w:b/>
                <w:sz w:val="24"/>
                <w:szCs w:val="24"/>
              </w:rPr>
              <w:t>.</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4B29F7" w:rsidRDefault="0084709B" w:rsidP="00C850B9">
            <w:pPr>
              <w:ind w:firstLine="281"/>
              <w:rPr>
                <w:rFonts w:ascii="Times New Roman" w:hAnsi="Times New Roman"/>
                <w:sz w:val="24"/>
                <w:szCs w:val="24"/>
                <w:lang w:eastAsia="uk-UA"/>
              </w:rPr>
            </w:pPr>
            <w:r w:rsidRPr="004B29F7">
              <w:rPr>
                <w:rFonts w:ascii="Times New Roman" w:hAnsi="Times New Roman"/>
                <w:b/>
                <w:sz w:val="24"/>
                <w:szCs w:val="24"/>
              </w:rPr>
              <w:t>Поділ на лоти не передбачено</w:t>
            </w:r>
          </w:p>
          <w:p w:rsidR="00984F9B" w:rsidRPr="004B29F7" w:rsidRDefault="00984F9B" w:rsidP="00C95250">
            <w:pPr>
              <w:pStyle w:val="a8"/>
              <w:spacing w:before="0" w:beforeAutospacing="0" w:after="0" w:afterAutospacing="0"/>
              <w:jc w:val="both"/>
              <w:rPr>
                <w:color w:val="00000A"/>
                <w:shd w:val="clear" w:color="auto" w:fill="FFFFFF"/>
                <w:lang w:eastAsia="zh-CN"/>
              </w:rPr>
            </w:pP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984F9B" w:rsidRPr="004B29F7" w:rsidRDefault="004B29BE" w:rsidP="0084709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335578" w:rsidRPr="004B29F7">
              <w:rPr>
                <w:rFonts w:ascii="Times New Roman" w:eastAsia="Times New Roman" w:hAnsi="Times New Roman"/>
                <w:sz w:val="24"/>
                <w:szCs w:val="24"/>
                <w:lang w:eastAsia="uk-UA"/>
              </w:rPr>
              <w:t>3</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5A271A">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Замовник 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Pr="004B29F7">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sidRPr="004B29F7">
              <w:rPr>
                <w:rFonts w:ascii="Times New Roman" w:eastAsia="Times New Roman" w:hAnsi="Times New Roman"/>
                <w:sz w:val="24"/>
                <w:szCs w:val="24"/>
                <w:lang w:eastAsia="uk-UA"/>
              </w:rPr>
              <w:t xml:space="preserve">Прийнятне підвищення ціни – не більше </w:t>
            </w:r>
            <w:r w:rsidR="005A271A" w:rsidRPr="004B29F7">
              <w:rPr>
                <w:rFonts w:ascii="Times New Roman" w:eastAsia="Times New Roman" w:hAnsi="Times New Roman"/>
                <w:sz w:val="24"/>
                <w:szCs w:val="24"/>
                <w:lang w:eastAsia="uk-UA"/>
              </w:rPr>
              <w:t>5</w:t>
            </w:r>
            <w:r w:rsidR="001456CB" w:rsidRPr="004B29F7">
              <w:rPr>
                <w:rFonts w:ascii="Times New Roman" w:eastAsia="Times New Roman" w:hAnsi="Times New Roman"/>
                <w:sz w:val="24"/>
                <w:szCs w:val="24"/>
                <w:lang w:eastAsia="uk-UA"/>
              </w:rPr>
              <w:t>%.</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w:t>
            </w:r>
            <w:r w:rsidRPr="004B29F7">
              <w:rPr>
                <w:rFonts w:ascii="Times New Roman" w:eastAsia="Times New Roman" w:hAnsi="Times New Roman"/>
                <w:b/>
                <w:bCs/>
                <w:sz w:val="24"/>
                <w:szCs w:val="24"/>
                <w:lang w:eastAsia="uk-UA"/>
              </w:rPr>
              <w:lastRenderedPageBreak/>
              <w:t xml:space="preserve">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lastRenderedPageBreak/>
              <w:t xml:space="preserve">Замовник має право з власної ініціативи або у разі усунення </w:t>
            </w:r>
            <w:r w:rsidRPr="004B29F7">
              <w:rPr>
                <w:rFonts w:ascii="Times New Roman" w:hAnsi="Times New Roman"/>
                <w:sz w:val="24"/>
                <w:szCs w:val="24"/>
                <w:lang w:eastAsia="uk-UA"/>
              </w:rPr>
              <w:lastRenderedPageBreak/>
              <w:t>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4B29F7" w:rsidTr="00486983">
        <w:trPr>
          <w:trHeight w:val="334"/>
        </w:trPr>
        <w:tc>
          <w:tcPr>
            <w:tcW w:w="2835" w:type="dxa"/>
          </w:tcPr>
          <w:p w:rsidR="00E76F12"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 xml:space="preserve">2. Забезпечення </w:t>
            </w:r>
            <w:r w:rsidRPr="004B29F7">
              <w:rPr>
                <w:rFonts w:ascii="Times New Roman" w:eastAsia="Times New Roman" w:hAnsi="Times New Roman"/>
                <w:b/>
                <w:bCs/>
                <w:sz w:val="24"/>
                <w:szCs w:val="24"/>
                <w:lang w:eastAsia="uk-UA"/>
              </w:rPr>
              <w:lastRenderedPageBreak/>
              <w:t>тендерної пропозиції</w:t>
            </w:r>
          </w:p>
        </w:tc>
        <w:tc>
          <w:tcPr>
            <w:tcW w:w="6975" w:type="dxa"/>
          </w:tcPr>
          <w:p w:rsidR="00542FC2" w:rsidRPr="004B29F7" w:rsidRDefault="00631E71" w:rsidP="00631E71">
            <w:pPr>
              <w:pStyle w:val="Default"/>
              <w:ind w:firstLine="460"/>
              <w:contextualSpacing/>
              <w:jc w:val="both"/>
              <w:rPr>
                <w:color w:val="auto"/>
              </w:rPr>
            </w:pPr>
            <w:r w:rsidRPr="004B29F7">
              <w:rPr>
                <w:color w:val="auto"/>
              </w:rPr>
              <w:lastRenderedPageBreak/>
              <w:t>Не вимагається.</w:t>
            </w:r>
          </w:p>
        </w:tc>
      </w:tr>
      <w:tr w:rsidR="00984F9B"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4B29F7"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4B29F7"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 </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vMerge w:val="restart"/>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Pr="004B29F7"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r w:rsidR="00DA5128" w:rsidRPr="004B29F7">
              <w:rPr>
                <w:rFonts w:ascii="Times New Roman" w:eastAsia="Times New Roman" w:hAnsi="Times New Roman"/>
                <w:sz w:val="24"/>
                <w:szCs w:val="24"/>
                <w:lang w:eastAsia="zh-CN"/>
              </w:rPr>
              <w:t>В якості підтвердження учасник надає договір зі специфікацією або видатковою накладною.</w:t>
            </w:r>
          </w:p>
          <w:p w:rsidR="003F5002" w:rsidRPr="004B29F7" w:rsidRDefault="003F5002" w:rsidP="003F5002">
            <w:pPr>
              <w:suppressAutoHyphens/>
              <w:spacing w:after="0" w:line="240" w:lineRule="atLeast"/>
              <w:ind w:right="113" w:firstLine="373"/>
              <w:jc w:val="both"/>
              <w:rPr>
                <w:rFonts w:ascii="Times New Roman" w:eastAsia="Times New Roman" w:hAnsi="Times New Roman"/>
                <w:sz w:val="24"/>
                <w:szCs w:val="24"/>
                <w:lang w:val="ru-RU" w:eastAsia="zh-CN"/>
              </w:rPr>
            </w:pPr>
            <w:r w:rsidRPr="004B29F7">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4B29F7">
              <w:rPr>
                <w:rFonts w:ascii="Times New Roman" w:eastAsia="Times New Roman" w:hAnsi="Times New Roman"/>
                <w:sz w:val="24"/>
                <w:szCs w:val="24"/>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4B29F7" w:rsidTr="00344101">
        <w:trPr>
          <w:trHeight w:val="3997"/>
        </w:trPr>
        <w:tc>
          <w:tcPr>
            <w:tcW w:w="2835" w:type="dxa"/>
            <w:vMerge/>
            <w:tcBorders>
              <w:right w:val="single" w:sz="4" w:space="0" w:color="auto"/>
            </w:tcBorders>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4B29F7" w:rsidRDefault="008A255C" w:rsidP="005E5451">
            <w:pPr>
              <w:pStyle w:val="a3"/>
              <w:ind w:firstLine="460"/>
              <w:jc w:val="both"/>
              <w:rPr>
                <w:rFonts w:ascii="Times New Roman" w:eastAsia="Times New Roman" w:hAnsi="Times New Roman"/>
                <w:sz w:val="24"/>
                <w:szCs w:val="24"/>
                <w:lang w:eastAsia="ru-RU"/>
              </w:rPr>
            </w:pPr>
          </w:p>
          <w:p w:rsidR="001921CE" w:rsidRPr="004B29F7" w:rsidRDefault="001921CE" w:rsidP="001921CE">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4B29F7">
              <w:rPr>
                <w:rFonts w:ascii="Times New Roman" w:eastAsia="Times New Roman" w:hAnsi="Times New Roman"/>
                <w:sz w:val="24"/>
                <w:szCs w:val="24"/>
                <w:highlight w:val="cyan"/>
                <w:lang w:eastAsia="zh-CN"/>
              </w:rPr>
              <w:t>.</w:t>
            </w:r>
          </w:p>
          <w:p w:rsidR="001921CE" w:rsidRPr="004B29F7" w:rsidRDefault="001921CE" w:rsidP="005E5451">
            <w:pPr>
              <w:pStyle w:val="a3"/>
              <w:jc w:val="both"/>
              <w:rPr>
                <w:rFonts w:ascii="Times New Roman" w:eastAsia="Times New Roman" w:hAnsi="Times New Roman"/>
                <w:i/>
                <w:sz w:val="24"/>
                <w:szCs w:val="24"/>
                <w:highlight w:val="cyan"/>
                <w:lang w:eastAsia="ru-RU"/>
              </w:rPr>
            </w:pP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5) </w:t>
            </w:r>
            <w:r w:rsidR="00CB3B99" w:rsidRPr="004B29F7">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B29F7">
              <w:rPr>
                <w:rFonts w:ascii="Times New Roman" w:eastAsia="Times New Roman" w:hAnsi="Times New Roman"/>
                <w:sz w:val="24"/>
                <w:szCs w:val="24"/>
                <w:lang w:eastAsia="ru-RU"/>
              </w:rPr>
              <w:t>;</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6) </w:t>
            </w:r>
            <w:r w:rsidR="00CB3B99" w:rsidRPr="004B29F7">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B29F7">
              <w:rPr>
                <w:rFonts w:ascii="Times New Roman" w:eastAsia="Times New Roman" w:hAnsi="Times New Roman"/>
                <w:sz w:val="24"/>
                <w:szCs w:val="24"/>
                <w:lang w:eastAsia="ru-RU"/>
              </w:rPr>
              <w:t>;</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4B29F7" w:rsidRDefault="005E5451" w:rsidP="004364F9">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4B29F7">
              <w:rPr>
                <w:rFonts w:ascii="Times New Roman" w:eastAsia="Times New Roman" w:hAnsi="Times New Roman"/>
                <w:sz w:val="24"/>
                <w:szCs w:val="24"/>
                <w:lang w:eastAsia="ru-RU"/>
              </w:rPr>
              <w:t>.</w:t>
            </w:r>
            <w:r w:rsidR="00D47459">
              <w:rPr>
                <w:rFonts w:ascii="Times New Roman" w:eastAsia="Times New Roman" w:hAnsi="Times New Roman"/>
                <w:sz w:val="24"/>
                <w:szCs w:val="24"/>
                <w:lang w:eastAsia="ru-RU"/>
              </w:rPr>
              <w:t xml:space="preserve"> </w:t>
            </w:r>
            <w:r w:rsidR="00182881" w:rsidRPr="004B29F7">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4B29F7" w:rsidRDefault="00E95F73" w:rsidP="00CB3B99">
            <w:pPr>
              <w:pStyle w:val="a3"/>
              <w:ind w:firstLine="459"/>
              <w:jc w:val="both"/>
              <w:rPr>
                <w:rFonts w:ascii="Times New Roman" w:eastAsia="Times New Roman" w:hAnsi="Times New Roman"/>
                <w:sz w:val="24"/>
                <w:szCs w:val="24"/>
                <w:lang w:eastAsia="ru-RU"/>
              </w:rPr>
            </w:pPr>
            <w:r w:rsidRPr="004B29F7">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04F61" w:rsidRPr="004B29F7" w:rsidRDefault="00F04F61" w:rsidP="00F04F6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Переможець процедури закупівлі у строк, що не перевищує </w:t>
            </w:r>
            <w:r w:rsidRPr="004B29F7">
              <w:rPr>
                <w:rFonts w:ascii="Times New Roman" w:eastAsia="Times New Roman" w:hAnsi="Times New Roman"/>
                <w:b/>
                <w:sz w:val="24"/>
                <w:szCs w:val="24"/>
                <w:lang w:eastAsia="ru-RU"/>
              </w:rPr>
              <w:t>чотири дні</w:t>
            </w:r>
            <w:r w:rsidRPr="004B29F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5, 6,</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8,</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12  частини першої та частиною другою статті 17 Закону, а саме:</w:t>
            </w:r>
          </w:p>
          <w:p w:rsidR="00F04F61" w:rsidRPr="004B29F7" w:rsidRDefault="00F04F61" w:rsidP="00F04F61">
            <w:pPr>
              <w:pStyle w:val="a3"/>
              <w:numPr>
                <w:ilvl w:val="0"/>
                <w:numId w:val="4"/>
              </w:numPr>
              <w:ind w:left="743"/>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4B29F7" w:rsidRDefault="00F04F61" w:rsidP="00F04F61">
            <w:pPr>
              <w:pStyle w:val="a3"/>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w:t>
            </w:r>
            <w:r w:rsidRPr="004B29F7">
              <w:rPr>
                <w:rFonts w:ascii="Times New Roman" w:eastAsia="Times New Roman" w:hAnsi="Times New Roman"/>
                <w:sz w:val="24"/>
                <w:szCs w:val="24"/>
                <w:lang w:eastAsia="ru-RU"/>
              </w:rPr>
              <w:tab/>
              <w:t xml:space="preserve">довідка, складена учасником у довільній формі, що підтверджує відсутність підстави, передбаченої пунктом 12 </w:t>
            </w:r>
            <w:r w:rsidR="002B6637" w:rsidRPr="004B29F7">
              <w:rPr>
                <w:rFonts w:ascii="Times New Roman" w:eastAsia="Times New Roman" w:hAnsi="Times New Roman"/>
                <w:sz w:val="24"/>
                <w:szCs w:val="24"/>
                <w:lang w:eastAsia="ru-RU"/>
              </w:rPr>
              <w:t>частини першої статті 17 Закону.</w:t>
            </w:r>
          </w:p>
          <w:p w:rsidR="00E95F73" w:rsidRPr="004B29F7" w:rsidRDefault="00E95F73" w:rsidP="005E5451">
            <w:pPr>
              <w:pStyle w:val="a3"/>
              <w:ind w:left="60" w:firstLine="428"/>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4B29F7" w:rsidRDefault="00E95F73" w:rsidP="00CA5965">
            <w:pPr>
              <w:spacing w:after="0" w:line="240" w:lineRule="auto"/>
              <w:ind w:firstLine="343"/>
              <w:jc w:val="both"/>
              <w:rPr>
                <w:rFonts w:ascii="Times New Roman" w:hAnsi="Times New Roman"/>
                <w:sz w:val="24"/>
                <w:szCs w:val="24"/>
                <w:lang w:eastAsia="ru-RU"/>
              </w:rPr>
            </w:pPr>
            <w:r w:rsidRPr="004B29F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6. Інформація про технічні, якісні та кількісні </w:t>
            </w:r>
            <w:r w:rsidRPr="004B29F7">
              <w:rPr>
                <w:rFonts w:ascii="Times New Roman" w:eastAsia="Times New Roman" w:hAnsi="Times New Roman"/>
                <w:b/>
                <w:bCs/>
                <w:sz w:val="24"/>
                <w:szCs w:val="24"/>
                <w:lang w:eastAsia="uk-UA"/>
              </w:rPr>
              <w:lastRenderedPageBreak/>
              <w:t>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w:t>
            </w:r>
            <w:r w:rsidRPr="004B29F7">
              <w:rPr>
                <w:rFonts w:ascii="Times New Roman" w:hAnsi="Times New Roman"/>
                <w:sz w:val="24"/>
                <w:szCs w:val="24"/>
              </w:rPr>
              <w:lastRenderedPageBreak/>
              <w:t xml:space="preserve">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5E5451" w:rsidRPr="004B29F7" w:rsidRDefault="005E5451"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4B29F7" w:rsidRDefault="00335578"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4B29F7" w:rsidRDefault="00E95F73"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4B29F7">
              <w:rPr>
                <w:rFonts w:ascii="Times New Roman" w:hAnsi="Times New Roman"/>
                <w:bCs/>
                <w:sz w:val="24"/>
                <w:szCs w:val="24"/>
              </w:rPr>
              <w:lastRenderedPageBreak/>
              <w:t>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4B29F7">
              <w:rPr>
                <w:rFonts w:ascii="Times New Roman" w:eastAsia="Times New Roman" w:hAnsi="Times New Roman"/>
                <w:color w:val="000000"/>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1) учасник процедури закупівлі:</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2) тендерна пропозиція: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є такою, строк дії якої закінчився;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є такою, ціна якої перевищує </w:t>
            </w:r>
            <w:r w:rsidR="00502347" w:rsidRPr="004B29F7">
              <w:rPr>
                <w:rFonts w:ascii="Times New Roman" w:eastAsia="Times New Roman" w:hAnsi="Times New Roman"/>
                <w:color w:val="000000"/>
                <w:sz w:val="24"/>
                <w:szCs w:val="24"/>
                <w:lang w:eastAsia="uk-UA"/>
              </w:rPr>
              <w:t xml:space="preserve">більше, ніж на </w:t>
            </w:r>
            <w:r w:rsidR="00BC3A86" w:rsidRPr="004B29F7">
              <w:rPr>
                <w:rFonts w:ascii="Times New Roman" w:eastAsia="Times New Roman" w:hAnsi="Times New Roman"/>
                <w:color w:val="000000"/>
                <w:sz w:val="24"/>
                <w:szCs w:val="24"/>
                <w:lang w:eastAsia="uk-UA"/>
              </w:rPr>
              <w:t>5</w:t>
            </w:r>
            <w:r w:rsidR="00502347" w:rsidRPr="004B29F7">
              <w:rPr>
                <w:rFonts w:ascii="Times New Roman" w:eastAsia="Times New Roman" w:hAnsi="Times New Roman"/>
                <w:color w:val="000000"/>
                <w:sz w:val="24"/>
                <w:szCs w:val="24"/>
                <w:lang w:eastAsia="uk-UA"/>
              </w:rPr>
              <w:t xml:space="preserve">% </w:t>
            </w:r>
            <w:r w:rsidRPr="004B29F7">
              <w:rPr>
                <w:rFonts w:ascii="Times New Roman" w:eastAsia="Times New Roman" w:hAnsi="Times New Roman"/>
                <w:color w:val="000000"/>
                <w:sz w:val="24"/>
                <w:szCs w:val="24"/>
                <w:lang w:eastAsia="uk-UA"/>
              </w:rPr>
              <w:t>очікувану вартість предмета закупівлі</w:t>
            </w:r>
            <w:r w:rsidR="00EA5285">
              <w:rPr>
                <w:rFonts w:ascii="Times New Roman" w:eastAsia="Times New Roman" w:hAnsi="Times New Roman"/>
                <w:color w:val="000000"/>
                <w:sz w:val="24"/>
                <w:szCs w:val="24"/>
                <w:lang w:eastAsia="uk-UA"/>
              </w:rPr>
              <w:t xml:space="preserve"> </w:t>
            </w:r>
            <w:r w:rsidRPr="004B29F7">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3) переможець процедури закупівлі:</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C96604" w:rsidRPr="004B29F7"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4B29F7"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4B29F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4B29F7">
              <w:rPr>
                <w:rFonts w:ascii="Times New Roman" w:eastAsia="Times New Roman" w:hAnsi="Times New Roman"/>
                <w:color w:val="000000"/>
                <w:sz w:val="24"/>
                <w:szCs w:val="24"/>
                <w:lang w:eastAsia="uk-UA"/>
              </w:rPr>
              <w:t>ії згідно чинного законодавства.</w:t>
            </w:r>
          </w:p>
          <w:p w:rsidR="005E5451" w:rsidRPr="004B29F7"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lastRenderedPageBreak/>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lastRenderedPageBreak/>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1" w:name="n1769"/>
            <w:bookmarkEnd w:id="1"/>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2" w:name="n75"/>
            <w:bookmarkEnd w:id="2"/>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6"/>
            <w:bookmarkEnd w:id="3"/>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7"/>
            <w:bookmarkEnd w:id="4"/>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8"/>
            <w:bookmarkEnd w:id="5"/>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9"/>
            <w:bookmarkEnd w:id="6"/>
            <w:r w:rsidRPr="003C51B3">
              <w:rPr>
                <w:lang w:val="uk-UA"/>
              </w:rPr>
              <w:t>6) зміни</w:t>
            </w:r>
            <w:r w:rsidR="003C51B3">
              <w:rPr>
                <w:lang w:val="uk-UA"/>
              </w:rPr>
              <w:t xml:space="preserve"> </w:t>
            </w:r>
            <w:r w:rsidRPr="003C51B3">
              <w:rPr>
                <w:lang w:val="uk-UA"/>
              </w:rPr>
              <w:t>ціни в договорі про закупівлю у зв’язку з зміною 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80"/>
            <w:bookmarkEnd w:id="7"/>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1"/>
            <w:bookmarkEnd w:id="8"/>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9"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B29F7">
              <w:rPr>
                <w:lang w:val="uk-UA"/>
              </w:rPr>
              <w:t xml:space="preserve">Дія договору про закупівлю може бути продовжена на строк, достатній для проведення процедури закупівлі/спрощеної </w:t>
            </w:r>
            <w:r w:rsidRPr="004B29F7">
              <w:rPr>
                <w:lang w:val="uk-UA"/>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Default="00723DE5" w:rsidP="00495D1C">
      <w:pPr>
        <w:jc w:val="both"/>
        <w:rPr>
          <w:rFonts w:ascii="Times New Roman" w:hAnsi="Times New Roman"/>
          <w:b/>
          <w:sz w:val="24"/>
          <w:szCs w:val="24"/>
        </w:rPr>
      </w:pPr>
    </w:p>
    <w:p w:rsidR="009C1898" w:rsidRPr="004B29F7" w:rsidRDefault="009C1898"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lastRenderedPageBreak/>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4B29F7" w:rsidRDefault="00723DE5" w:rsidP="00723DE5">
      <w:pPr>
        <w:suppressAutoHyphens/>
        <w:spacing w:after="0" w:line="240" w:lineRule="auto"/>
        <w:jc w:val="center"/>
        <w:rPr>
          <w:rFonts w:ascii="Times New Roman" w:eastAsia="Times New Roman" w:hAnsi="Times New Roman"/>
          <w:b/>
          <w:sz w:val="24"/>
          <w:szCs w:val="24"/>
        </w:rPr>
      </w:pPr>
      <w:r w:rsidRPr="004B29F7">
        <w:rPr>
          <w:rFonts w:ascii="Times New Roman" w:eastAsia="Times New Roman" w:hAnsi="Times New Roman"/>
          <w:b/>
          <w:sz w:val="24"/>
          <w:szCs w:val="24"/>
        </w:rPr>
        <w:t>ФОРМА «ПРОПОЗИЦІЯ»</w:t>
      </w:r>
    </w:p>
    <w:p w:rsidR="00723DE5" w:rsidRPr="004B29F7" w:rsidRDefault="00723DE5" w:rsidP="00723DE5">
      <w:pPr>
        <w:tabs>
          <w:tab w:val="left" w:pos="1440"/>
        </w:tabs>
        <w:suppressAutoHyphens/>
        <w:spacing w:after="0" w:line="240" w:lineRule="auto"/>
        <w:jc w:val="center"/>
        <w:rPr>
          <w:rFonts w:ascii="Times New Roman" w:eastAsia="Times New Roman" w:hAnsi="Times New Roman"/>
          <w:sz w:val="24"/>
          <w:szCs w:val="24"/>
        </w:rPr>
      </w:pPr>
    </w:p>
    <w:p w:rsidR="00723DE5" w:rsidRPr="004B29F7" w:rsidRDefault="00723DE5" w:rsidP="00723DE5">
      <w:pPr>
        <w:spacing w:after="0" w:line="240" w:lineRule="auto"/>
        <w:ind w:firstLine="567"/>
        <w:jc w:val="both"/>
        <w:rPr>
          <w:rFonts w:ascii="Times New Roman" w:eastAsia="Times New Roman" w:hAnsi="Times New Roman"/>
          <w:sz w:val="24"/>
          <w:szCs w:val="24"/>
        </w:rPr>
      </w:pPr>
    </w:p>
    <w:p w:rsidR="00723DE5" w:rsidRPr="004B29F7" w:rsidRDefault="00723DE5" w:rsidP="00723DE5">
      <w:pPr>
        <w:widowControl w:val="0"/>
        <w:tabs>
          <w:tab w:val="left" w:pos="3360"/>
          <w:tab w:val="center" w:pos="5191"/>
        </w:tabs>
        <w:spacing w:after="120"/>
        <w:ind w:left="318" w:hanging="34"/>
        <w:jc w:val="center"/>
        <w:rPr>
          <w:rFonts w:ascii="Times New Roman" w:hAnsi="Times New Roman"/>
          <w:b/>
          <w:bCs/>
          <w:sz w:val="24"/>
          <w:szCs w:val="24"/>
        </w:rPr>
      </w:pPr>
      <w:r w:rsidRPr="004B29F7">
        <w:rPr>
          <w:rFonts w:ascii="Times New Roman" w:hAnsi="Times New Roman"/>
          <w:sz w:val="24"/>
          <w:szCs w:val="24"/>
        </w:rPr>
        <w:t>№ _______ від __________ 202</w:t>
      </w:r>
      <w:r w:rsidRPr="004B29F7">
        <w:rPr>
          <w:rFonts w:ascii="Times New Roman" w:hAnsi="Times New Roman"/>
          <w:sz w:val="24"/>
          <w:szCs w:val="24"/>
          <w:lang w:val="ru-RU"/>
        </w:rPr>
        <w:t>3</w:t>
      </w:r>
      <w:r w:rsidRPr="004B29F7">
        <w:rPr>
          <w:rFonts w:ascii="Times New Roman" w:hAnsi="Times New Roman"/>
          <w:sz w:val="24"/>
          <w:szCs w:val="24"/>
        </w:rPr>
        <w:t xml:space="preserve"> року</w:t>
      </w:r>
    </w:p>
    <w:p w:rsidR="00723DE5" w:rsidRPr="004B29F7" w:rsidRDefault="00723DE5" w:rsidP="009C1898">
      <w:pPr>
        <w:widowControl w:val="0"/>
        <w:jc w:val="both"/>
        <w:rPr>
          <w:rFonts w:ascii="Times New Roman" w:hAnsi="Times New Roman"/>
          <w:b/>
          <w:kern w:val="2"/>
          <w:sz w:val="24"/>
          <w:szCs w:val="24"/>
        </w:rPr>
      </w:pPr>
      <w:r w:rsidRPr="004B29F7">
        <w:rPr>
          <w:rFonts w:ascii="Times New Roman" w:hAnsi="Times New Roman"/>
          <w:b/>
          <w:sz w:val="24"/>
          <w:szCs w:val="24"/>
        </w:rPr>
        <w:t>______________ (</w:t>
      </w:r>
      <w:r w:rsidRPr="004B29F7">
        <w:rPr>
          <w:rFonts w:ascii="Times New Roman" w:hAnsi="Times New Roman"/>
          <w:b/>
          <w:i/>
          <w:sz w:val="24"/>
          <w:szCs w:val="24"/>
        </w:rPr>
        <w:t>Учасник</w:t>
      </w:r>
      <w:r w:rsidRPr="004B29F7">
        <w:rPr>
          <w:rFonts w:ascii="Times New Roman" w:hAnsi="Times New Roman"/>
          <w:b/>
          <w:sz w:val="24"/>
          <w:szCs w:val="24"/>
        </w:rPr>
        <w:t xml:space="preserve">) </w:t>
      </w:r>
      <w:r w:rsidRPr="004B29F7">
        <w:rPr>
          <w:rFonts w:ascii="Times New Roman" w:hAnsi="Times New Roman"/>
          <w:sz w:val="24"/>
          <w:szCs w:val="24"/>
        </w:rPr>
        <w:t xml:space="preserve">надає свою цінову пропозицію щодо участі у відкритих торгах на закупівлю </w:t>
      </w:r>
      <w:r w:rsidRPr="004B29F7">
        <w:rPr>
          <w:rFonts w:ascii="Times New Roman" w:eastAsia="Times New Roman" w:hAnsi="Times New Roman"/>
          <w:b/>
          <w:sz w:val="24"/>
          <w:szCs w:val="24"/>
        </w:rPr>
        <w:t xml:space="preserve">ДК 021:2015: </w:t>
      </w:r>
      <w:r w:rsidR="009C1898"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009C1898">
        <w:rPr>
          <w:rFonts w:ascii="Times New Roman" w:hAnsi="Times New Roman"/>
          <w:b/>
          <w:bCs/>
          <w:sz w:val="24"/>
          <w:szCs w:val="24"/>
        </w:rPr>
        <w:t xml:space="preserve"> </w:t>
      </w:r>
      <w:r w:rsidR="009C1898" w:rsidRPr="004B29F7">
        <w:rPr>
          <w:rFonts w:ascii="Times New Roman" w:hAnsi="Times New Roman"/>
          <w:b/>
          <w:bCs/>
          <w:sz w:val="24"/>
          <w:szCs w:val="24"/>
        </w:rPr>
        <w:t>(</w:t>
      </w:r>
      <w:r w:rsidR="009C1898" w:rsidRPr="004958FF">
        <w:rPr>
          <w:rFonts w:ascii="Times New Roman" w:hAnsi="Times New Roman"/>
          <w:b/>
          <w:bCs/>
          <w:sz w:val="24"/>
          <w:szCs w:val="24"/>
        </w:rPr>
        <w:t>запасні частини до вантажних транспортних засобів та легкових автомобілів</w:t>
      </w:r>
      <w:r w:rsidR="009C1898" w:rsidRPr="004B29F7">
        <w:rPr>
          <w:rFonts w:ascii="Times New Roman" w:hAnsi="Times New Roman"/>
          <w:b/>
          <w:bCs/>
          <w:sz w:val="24"/>
          <w:szCs w:val="24"/>
        </w:rPr>
        <w:t>)</w:t>
      </w:r>
      <w:r w:rsidR="009C1898">
        <w:rPr>
          <w:rFonts w:ascii="Times New Roman" w:hAnsi="Times New Roman"/>
          <w:b/>
          <w:bCs/>
          <w:sz w:val="24"/>
          <w:szCs w:val="24"/>
        </w:rPr>
        <w:t>.</w:t>
      </w:r>
    </w:p>
    <w:p w:rsidR="00723DE5" w:rsidRPr="004B29F7" w:rsidRDefault="00723DE5" w:rsidP="009C1898">
      <w:pPr>
        <w:ind w:firstLine="708"/>
        <w:jc w:val="both"/>
        <w:rPr>
          <w:rFonts w:ascii="Times New Roman" w:hAnsi="Times New Roman"/>
          <w:sz w:val="24"/>
          <w:szCs w:val="24"/>
        </w:rPr>
      </w:pPr>
      <w:r w:rsidRPr="004B29F7">
        <w:rPr>
          <w:rFonts w:ascii="Times New Roman" w:hAnsi="Times New Roman"/>
          <w:sz w:val="24"/>
          <w:szCs w:val="24"/>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4B29F7" w:rsidRDefault="00723DE5" w:rsidP="00723DE5">
      <w:pPr>
        <w:autoSpaceDE w:val="0"/>
        <w:ind w:firstLine="709"/>
        <w:rPr>
          <w:rFonts w:ascii="Times New Roman" w:hAnsi="Times New Roman"/>
          <w:sz w:val="24"/>
          <w:szCs w:val="24"/>
          <w:lang w:eastAsia="ru-RU"/>
        </w:rPr>
      </w:pPr>
      <w:r w:rsidRPr="004B29F7">
        <w:rPr>
          <w:rFonts w:ascii="Times New Roman" w:hAnsi="Times New Roman"/>
          <w:sz w:val="24"/>
          <w:szCs w:val="24"/>
          <w:lang w:eastAsia="ru-RU"/>
        </w:rPr>
        <w:t xml:space="preserve">Ми пропонуємо здійснити закупівлю Товару, що є предметом закупівлі на загальну суму: ___________ </w:t>
      </w:r>
      <w:r w:rsidRPr="004B29F7">
        <w:rPr>
          <w:rFonts w:ascii="Times New Roman" w:hAnsi="Times New Roman"/>
          <w:i/>
          <w:iCs/>
          <w:sz w:val="24"/>
          <w:szCs w:val="24"/>
          <w:lang w:eastAsia="ru-RU"/>
        </w:rPr>
        <w:t xml:space="preserve">(сума, цифрами і прописом) </w:t>
      </w:r>
      <w:r w:rsidRPr="004B29F7">
        <w:rPr>
          <w:rFonts w:ascii="Times New Roman" w:hAnsi="Times New Roman"/>
          <w:sz w:val="24"/>
          <w:szCs w:val="24"/>
          <w:lang w:eastAsia="ru-RU"/>
        </w:rPr>
        <w:t xml:space="preserve">грн у тому числі ПДВ* – _____________ грн. </w:t>
      </w:r>
    </w:p>
    <w:p w:rsidR="00723DE5" w:rsidRPr="004B29F7" w:rsidRDefault="00723DE5" w:rsidP="001C6882">
      <w:pPr>
        <w:autoSpaceDE w:val="0"/>
        <w:ind w:firstLine="709"/>
        <w:jc w:val="both"/>
        <w:rPr>
          <w:rFonts w:ascii="Times New Roman" w:hAnsi="Times New Roman"/>
          <w:sz w:val="24"/>
          <w:szCs w:val="24"/>
        </w:rPr>
      </w:pPr>
      <w:r w:rsidRPr="004B29F7">
        <w:rPr>
          <w:rFonts w:ascii="Times New Roman" w:hAnsi="Times New Roman"/>
          <w:sz w:val="24"/>
          <w:szCs w:val="24"/>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2D5DAB">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w:t>
      </w:r>
      <w:r w:rsidRPr="004B29F7">
        <w:rPr>
          <w:rFonts w:ascii="Times New Roman" w:hAnsi="Times New Roman"/>
          <w:iCs/>
          <w:sz w:val="24"/>
          <w:szCs w:val="24"/>
          <w:lang w:eastAsia="ru-RU"/>
        </w:rPr>
        <w:lastRenderedPageBreak/>
        <w:t>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0">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723DE5" w:rsidRPr="004B29F7" w:rsidRDefault="00723DE5" w:rsidP="00495D1C">
      <w:pPr>
        <w:jc w:val="both"/>
        <w:rPr>
          <w:rFonts w:ascii="Times New Roman" w:hAnsi="Times New Roman"/>
          <w:b/>
          <w:sz w:val="24"/>
          <w:szCs w:val="24"/>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620DCD" w:rsidRPr="004B29F7" w:rsidRDefault="00620DCD"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2D5DAB">
        <w:trPr>
          <w:trHeight w:val="366"/>
        </w:trPr>
        <w:tc>
          <w:tcPr>
            <w:tcW w:w="3285" w:type="dxa"/>
            <w:hideMark/>
          </w:tcPr>
          <w:p w:rsidR="00BC58C8" w:rsidRPr="004B29F7" w:rsidRDefault="00BC58C8" w:rsidP="002D5DAB">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2D5DAB">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BA6D6B">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BA6D6B" w:rsidRPr="004B29F7">
              <w:rPr>
                <w:rFonts w:ascii="Times New Roman" w:hAnsi="Times New Roman"/>
                <w:sz w:val="24"/>
                <w:szCs w:val="24"/>
              </w:rPr>
              <w:t>3</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C51CA5" w:rsidRPr="004958FF">
        <w:rPr>
          <w:rFonts w:ascii="Times New Roman" w:hAnsi="Times New Roman"/>
          <w:b/>
          <w:bCs/>
          <w:sz w:val="24"/>
          <w:szCs w:val="24"/>
        </w:rPr>
        <w:t>запасні частини до вантажних транспортних засобів та легкових автомобілів</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C51CA5"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lastRenderedPageBreak/>
        <w:t xml:space="preserve">5.1. Строк поставки Товару: </w:t>
      </w:r>
      <w:r w:rsidRPr="004B29F7">
        <w:rPr>
          <w:b/>
          <w:lang w:val="ru-RU"/>
        </w:rPr>
        <w:t xml:space="preserve">до </w:t>
      </w:r>
      <w:r w:rsidRPr="004B29F7">
        <w:rPr>
          <w:b/>
          <w:color w:val="000000"/>
          <w:lang w:val="ru-RU"/>
        </w:rPr>
        <w:t>29.12.202</w:t>
      </w:r>
      <w:r w:rsidR="00F37A08" w:rsidRPr="004B29F7">
        <w:rPr>
          <w:b/>
          <w:color w:val="000000"/>
          <w:lang w:val="ru-RU"/>
        </w:rPr>
        <w:t>3</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t xml:space="preserve">5.2. Місце поставки Товару: </w:t>
      </w:r>
      <w:r w:rsidR="00E2042E" w:rsidRPr="004B29F7">
        <w:rPr>
          <w:b/>
          <w:lang w:val="ru-RU"/>
        </w:rPr>
        <w:t>Київська обл., смт Немішаєве. Вінницька обл., м. Кал</w:t>
      </w:r>
      <w:r w:rsidR="001F74C6" w:rsidRPr="004B29F7">
        <w:rPr>
          <w:b/>
          <w:lang w:val="ru-RU"/>
        </w:rPr>
        <w:t>ин</w:t>
      </w:r>
      <w:r w:rsidR="00E2042E" w:rsidRPr="004B29F7">
        <w:rPr>
          <w:b/>
          <w:lang w:val="ru-RU"/>
        </w:rPr>
        <w:t>івка</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BC58C8">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w:t>
      </w:r>
      <w:r w:rsidRPr="004B29F7">
        <w:rPr>
          <w:color w:val="auto"/>
          <w:szCs w:val="24"/>
          <w:lang w:val="uk-UA"/>
        </w:rPr>
        <w:lastRenderedPageBreak/>
        <w:t>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C91280" w:rsidRPr="004B29F7">
        <w:rPr>
          <w:rFonts w:ascii="Times New Roman" w:hAnsi="Times New Roman"/>
          <w:b/>
          <w:sz w:val="24"/>
          <w:szCs w:val="24"/>
        </w:rPr>
        <w:t>3</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w:t>
      </w:r>
      <w:r w:rsidRPr="004B29F7">
        <w:rPr>
          <w:rFonts w:ascii="Times New Roman" w:hAnsi="Times New Roman"/>
          <w:sz w:val="24"/>
          <w:szCs w:val="24"/>
          <w:lang w:val="uk-UA"/>
        </w:rPr>
        <w:lastRenderedPageBreak/>
        <w:t>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lastRenderedPageBreak/>
        <w:t>12.14.3.</w:t>
      </w:r>
      <w:r w:rsidR="00507A3D" w:rsidRPr="004B29F7">
        <w:rPr>
          <w:rFonts w:ascii="Times New Roman" w:hAnsi="Times New Roman"/>
          <w:sz w:val="24"/>
          <w:szCs w:val="24"/>
        </w:rPr>
        <w:t xml:space="preserve"> </w:t>
      </w:r>
      <w:r w:rsidRPr="004B29F7">
        <w:rPr>
          <w:rFonts w:ascii="Times New Roman" w:hAnsi="Times New Roman"/>
          <w:sz w:val="24"/>
          <w:szCs w:val="24"/>
        </w:rPr>
        <w:t>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173F11">
        <w:trPr>
          <w:trHeight w:val="246"/>
        </w:trPr>
        <w:tc>
          <w:tcPr>
            <w:tcW w:w="5529" w:type="dxa"/>
          </w:tcPr>
          <w:p w:rsidR="004B29F7" w:rsidRPr="004B29F7" w:rsidRDefault="004B29F7" w:rsidP="00173F11">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173F11">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173F11">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173F11">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173F11">
            <w:pPr>
              <w:rPr>
                <w:rFonts w:ascii="Times New Roman" w:hAnsi="Times New Roman"/>
                <w:sz w:val="24"/>
                <w:szCs w:val="24"/>
              </w:rPr>
            </w:pPr>
          </w:p>
          <w:p w:rsidR="004B29F7" w:rsidRPr="004B29F7" w:rsidRDefault="004B29F7" w:rsidP="00173F11">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173F11">
            <w:pPr>
              <w:rPr>
                <w:rFonts w:ascii="Times New Roman" w:hAnsi="Times New Roman"/>
                <w:b/>
                <w:sz w:val="24"/>
                <w:szCs w:val="24"/>
              </w:rPr>
            </w:pPr>
            <w:r w:rsidRPr="004B29F7">
              <w:rPr>
                <w:rFonts w:ascii="Times New Roman" w:hAnsi="Times New Roman"/>
                <w:sz w:val="24"/>
                <w:szCs w:val="24"/>
              </w:rPr>
              <w:lastRenderedPageBreak/>
              <w:t>М.П.</w:t>
            </w:r>
          </w:p>
        </w:tc>
        <w:tc>
          <w:tcPr>
            <w:tcW w:w="4961" w:type="dxa"/>
          </w:tcPr>
          <w:p w:rsidR="004B29F7" w:rsidRPr="004B29F7" w:rsidRDefault="004B29F7" w:rsidP="00173F11">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4B29F7" w:rsidRPr="004B29F7" w:rsidRDefault="004B29F7" w:rsidP="00173F11">
            <w:pPr>
              <w:jc w:val="center"/>
              <w:rPr>
                <w:rFonts w:ascii="Times New Roman" w:hAnsi="Times New Roman"/>
                <w:b/>
                <w:sz w:val="24"/>
                <w:szCs w:val="24"/>
              </w:rPr>
            </w:pPr>
          </w:p>
        </w:tc>
      </w:tr>
    </w:tbl>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F37A08" w:rsidRPr="004B29F7">
        <w:rPr>
          <w:rFonts w:ascii="Times New Roman" w:hAnsi="Times New Roman"/>
          <w:sz w:val="24"/>
          <w:szCs w:val="24"/>
        </w:rPr>
        <w:t>3</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173F11">
        <w:trPr>
          <w:trHeight w:val="246"/>
        </w:trPr>
        <w:tc>
          <w:tcPr>
            <w:tcW w:w="5529" w:type="dxa"/>
          </w:tcPr>
          <w:p w:rsidR="003C76FA" w:rsidRPr="004B29F7" w:rsidRDefault="003C76FA" w:rsidP="00173F11">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173F11">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173F11">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173F11">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173F11">
            <w:pPr>
              <w:rPr>
                <w:rFonts w:ascii="Times New Roman" w:hAnsi="Times New Roman"/>
                <w:sz w:val="24"/>
                <w:szCs w:val="24"/>
              </w:rPr>
            </w:pPr>
          </w:p>
          <w:p w:rsidR="003C76FA" w:rsidRPr="004B29F7" w:rsidRDefault="003C76FA" w:rsidP="00173F11">
            <w:pPr>
              <w:rPr>
                <w:rFonts w:ascii="Times New Roman" w:hAnsi="Times New Roman"/>
                <w:b/>
                <w:sz w:val="24"/>
                <w:szCs w:val="24"/>
              </w:rPr>
            </w:pPr>
            <w:r w:rsidRPr="004B29F7">
              <w:rPr>
                <w:rFonts w:ascii="Times New Roman" w:hAnsi="Times New Roman"/>
                <w:sz w:val="24"/>
                <w:szCs w:val="24"/>
              </w:rPr>
              <w:t>_______________  Микола ФУРДИГА</w:t>
            </w:r>
          </w:p>
          <w:p w:rsidR="003C76FA" w:rsidRPr="004B29F7" w:rsidRDefault="003C76FA" w:rsidP="00173F11">
            <w:pPr>
              <w:rPr>
                <w:rFonts w:ascii="Times New Roman" w:hAnsi="Times New Roman"/>
                <w:b/>
                <w:sz w:val="24"/>
                <w:szCs w:val="24"/>
              </w:rPr>
            </w:pPr>
            <w:r w:rsidRPr="004B29F7">
              <w:rPr>
                <w:rFonts w:ascii="Times New Roman" w:hAnsi="Times New Roman"/>
                <w:sz w:val="24"/>
                <w:szCs w:val="24"/>
              </w:rPr>
              <w:t>М.П.</w:t>
            </w:r>
          </w:p>
        </w:tc>
        <w:tc>
          <w:tcPr>
            <w:tcW w:w="4961" w:type="dxa"/>
          </w:tcPr>
          <w:p w:rsidR="003C76FA" w:rsidRPr="004B29F7" w:rsidRDefault="003C76FA" w:rsidP="00173F11">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3C76FA" w:rsidRPr="004B29F7" w:rsidRDefault="003C76FA" w:rsidP="00173F11">
            <w:pPr>
              <w:jc w:val="center"/>
              <w:rPr>
                <w:rFonts w:ascii="Times New Roman" w:hAnsi="Times New Roman"/>
                <w:b/>
                <w:sz w:val="24"/>
                <w:szCs w:val="24"/>
              </w:rPr>
            </w:pPr>
          </w:p>
        </w:tc>
      </w:tr>
    </w:tbl>
    <w:p w:rsidR="003C76FA" w:rsidRPr="004B29F7" w:rsidRDefault="003C76FA" w:rsidP="00BC58C8">
      <w:pPr>
        <w:jc w:val="center"/>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p>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4B29F7" w:rsidRDefault="00E00E52" w:rsidP="00E00E52">
      <w:pPr>
        <w:spacing w:after="0" w:line="240" w:lineRule="auto"/>
        <w:jc w:val="center"/>
        <w:rPr>
          <w:rFonts w:ascii="Times New Roman" w:hAnsi="Times New Roman"/>
          <w:b/>
          <w:bCs/>
          <w:iCs/>
          <w:sz w:val="24"/>
          <w:szCs w:val="24"/>
          <w:lang w:eastAsia="ru-RU"/>
        </w:rPr>
      </w:pPr>
      <w:r w:rsidRPr="004B29F7">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4B29F7" w:rsidRDefault="00E00E52" w:rsidP="00E00E52">
      <w:pPr>
        <w:spacing w:after="0" w:line="240" w:lineRule="auto"/>
        <w:jc w:val="center"/>
        <w:rPr>
          <w:rFonts w:ascii="Times New Roman" w:hAnsi="Times New Roman"/>
          <w:sz w:val="24"/>
          <w:szCs w:val="24"/>
          <w:lang w:eastAsia="ru-RU"/>
        </w:rPr>
      </w:pPr>
    </w:p>
    <w:p w:rsidR="00E00E52" w:rsidRPr="004B29F7" w:rsidRDefault="00E00E52" w:rsidP="00E00E52">
      <w:pPr>
        <w:spacing w:after="0" w:line="240" w:lineRule="auto"/>
        <w:jc w:val="center"/>
        <w:rPr>
          <w:rFonts w:ascii="Times New Roman" w:hAnsi="Times New Roman"/>
          <w:b/>
          <w:bCs/>
          <w:i/>
          <w:iCs/>
          <w:sz w:val="24"/>
          <w:szCs w:val="24"/>
          <w:lang w:eastAsia="ru-RU"/>
        </w:rPr>
      </w:pPr>
      <w:r w:rsidRPr="004B29F7">
        <w:rPr>
          <w:rFonts w:ascii="Times New Roman" w:hAnsi="Times New Roman"/>
          <w:b/>
          <w:bCs/>
          <w:i/>
          <w:iCs/>
          <w:sz w:val="24"/>
          <w:szCs w:val="24"/>
          <w:lang w:eastAsia="ru-RU"/>
        </w:rPr>
        <w:t>ТЕХНІЧНА СПЕЦИФІКАЦІЯ</w:t>
      </w:r>
    </w:p>
    <w:p w:rsidR="00E00E52" w:rsidRPr="004B29F7" w:rsidRDefault="00E00E52" w:rsidP="00E00E52">
      <w:pPr>
        <w:spacing w:after="0" w:line="240" w:lineRule="auto"/>
        <w:jc w:val="both"/>
        <w:rPr>
          <w:rFonts w:ascii="Times New Roman" w:hAnsi="Times New Roman"/>
          <w:b/>
          <w:bCs/>
          <w:i/>
          <w:iCs/>
          <w:sz w:val="24"/>
          <w:szCs w:val="24"/>
          <w:lang w:eastAsia="ru-RU"/>
        </w:rPr>
      </w:pPr>
    </w:p>
    <w:p w:rsidR="00E00E52" w:rsidRPr="004B29F7" w:rsidRDefault="00E00E52" w:rsidP="00E00E52">
      <w:pPr>
        <w:tabs>
          <w:tab w:val="left" w:pos="8910"/>
        </w:tabs>
        <w:spacing w:after="40"/>
        <w:jc w:val="center"/>
        <w:rPr>
          <w:rFonts w:ascii="Times New Roman" w:hAnsi="Times New Roman"/>
          <w:sz w:val="24"/>
          <w:szCs w:val="24"/>
        </w:rPr>
      </w:pPr>
    </w:p>
    <w:p w:rsidR="00E00E52" w:rsidRPr="004B29F7" w:rsidRDefault="00E00E52" w:rsidP="00742B9F">
      <w:pPr>
        <w:spacing w:after="0" w:line="240" w:lineRule="auto"/>
        <w:jc w:val="center"/>
        <w:rPr>
          <w:rFonts w:ascii="Times New Roman" w:hAnsi="Times New Roman"/>
          <w:b/>
          <w:kern w:val="23"/>
          <w:sz w:val="24"/>
          <w:szCs w:val="24"/>
        </w:rPr>
      </w:pPr>
      <w:r w:rsidRPr="004B29F7">
        <w:rPr>
          <w:rFonts w:ascii="Times New Roman" w:hAnsi="Times New Roman"/>
          <w:b/>
          <w:sz w:val="24"/>
          <w:szCs w:val="24"/>
          <w:lang w:eastAsia="ru-RU"/>
        </w:rPr>
        <w:t>ДК 021:2015:</w:t>
      </w:r>
      <w:r w:rsidRPr="004B29F7">
        <w:rPr>
          <w:rFonts w:ascii="Times New Roman" w:hAnsi="Times New Roman"/>
          <w:b/>
          <w:sz w:val="24"/>
          <w:szCs w:val="24"/>
        </w:rPr>
        <w:t xml:space="preserve"> </w:t>
      </w:r>
      <w:r w:rsidR="00437C53"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00437C53">
        <w:rPr>
          <w:rFonts w:ascii="Times New Roman" w:hAnsi="Times New Roman"/>
          <w:b/>
          <w:bCs/>
          <w:sz w:val="24"/>
          <w:szCs w:val="24"/>
        </w:rPr>
        <w:t xml:space="preserve"> (</w:t>
      </w:r>
      <w:r w:rsidR="00437C53" w:rsidRPr="004958FF">
        <w:rPr>
          <w:rFonts w:ascii="Times New Roman" w:hAnsi="Times New Roman"/>
          <w:b/>
          <w:bCs/>
          <w:sz w:val="24"/>
          <w:szCs w:val="24"/>
        </w:rPr>
        <w:t>запасні частини до вантажних транспортних засобів та легкових автомобілів</w:t>
      </w:r>
      <w:r w:rsidR="00437C53">
        <w:rPr>
          <w:rFonts w:ascii="Times New Roman" w:hAnsi="Times New Roman"/>
          <w:b/>
          <w:bCs/>
          <w:sz w:val="24"/>
          <w:szCs w:val="24"/>
        </w:rPr>
        <w:t>)</w:t>
      </w:r>
    </w:p>
    <w:p w:rsidR="00E00E52" w:rsidRPr="004B29F7"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E00E52" w:rsidRPr="004B29F7" w:rsidRDefault="00E00E52" w:rsidP="00742B9F">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4B29F7" w:rsidRDefault="00E00E52" w:rsidP="00742B9F">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p w:rsidR="003D10ED" w:rsidRPr="004B29F7" w:rsidRDefault="003D10ED" w:rsidP="00E00E52">
      <w:pPr>
        <w:rPr>
          <w:rFonts w:ascii="Times New Roman" w:eastAsia="Arial Narrow" w:hAnsi="Times New Roman"/>
          <w:b/>
          <w:sz w:val="24"/>
          <w:szCs w:val="24"/>
          <w:lang w:eastAsia="uk-UA"/>
        </w:rPr>
      </w:pP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1134"/>
        <w:gridCol w:w="2215"/>
      </w:tblGrid>
      <w:tr w:rsidR="003D10ED" w:rsidRPr="003A1753" w:rsidTr="003D10ED">
        <w:trPr>
          <w:trHeight w:hRule="exact" w:val="284"/>
        </w:trPr>
        <w:tc>
          <w:tcPr>
            <w:tcW w:w="675" w:type="dxa"/>
          </w:tcPr>
          <w:p w:rsidR="003D10ED" w:rsidRPr="003A1753" w:rsidRDefault="003D10ED" w:rsidP="00302427">
            <w:pPr>
              <w:spacing w:line="360" w:lineRule="auto"/>
              <w:rPr>
                <w:sz w:val="18"/>
                <w:szCs w:val="18"/>
              </w:rPr>
            </w:pPr>
            <w:r>
              <w:rPr>
                <w:sz w:val="18"/>
                <w:szCs w:val="18"/>
              </w:rPr>
              <w:t>№</w:t>
            </w:r>
          </w:p>
        </w:tc>
        <w:tc>
          <w:tcPr>
            <w:tcW w:w="3686" w:type="dxa"/>
          </w:tcPr>
          <w:p w:rsidR="003D10ED" w:rsidRPr="003A1753" w:rsidRDefault="003D10ED" w:rsidP="00302427">
            <w:pPr>
              <w:spacing w:after="0" w:line="100" w:lineRule="atLeast"/>
              <w:jc w:val="center"/>
              <w:rPr>
                <w:sz w:val="18"/>
                <w:szCs w:val="18"/>
              </w:rPr>
            </w:pPr>
            <w:r w:rsidRPr="003A1753">
              <w:rPr>
                <w:sz w:val="18"/>
                <w:szCs w:val="18"/>
              </w:rPr>
              <w:t>Найменування товару</w:t>
            </w:r>
          </w:p>
        </w:tc>
        <w:tc>
          <w:tcPr>
            <w:tcW w:w="1134" w:type="dxa"/>
          </w:tcPr>
          <w:p w:rsidR="003D10ED" w:rsidRPr="003A1753" w:rsidRDefault="003D10ED" w:rsidP="00302427">
            <w:pPr>
              <w:spacing w:after="0" w:line="100" w:lineRule="atLeast"/>
              <w:jc w:val="center"/>
              <w:rPr>
                <w:sz w:val="18"/>
                <w:szCs w:val="18"/>
              </w:rPr>
            </w:pPr>
            <w:r w:rsidRPr="003A1753">
              <w:rPr>
                <w:sz w:val="18"/>
                <w:szCs w:val="18"/>
              </w:rPr>
              <w:t>Одиниця виміру</w:t>
            </w:r>
          </w:p>
        </w:tc>
        <w:tc>
          <w:tcPr>
            <w:tcW w:w="2215" w:type="dxa"/>
          </w:tcPr>
          <w:p w:rsidR="003D10ED" w:rsidRPr="003A1753" w:rsidRDefault="003D10ED" w:rsidP="00302427">
            <w:pPr>
              <w:spacing w:after="0" w:line="100" w:lineRule="atLeast"/>
              <w:jc w:val="center"/>
              <w:rPr>
                <w:sz w:val="18"/>
                <w:szCs w:val="18"/>
              </w:rPr>
            </w:pPr>
            <w:r w:rsidRPr="003A1753">
              <w:rPr>
                <w:sz w:val="18"/>
                <w:szCs w:val="18"/>
              </w:rPr>
              <w:t>Кількість</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Вал 3307-2200011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Хрестовини карданного валу 130-2201025</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Радіатор 3307-1301010-70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Радіатор 130-1301010</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Радіатор 3307-8101060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 xml:space="preserve">Фільтр кабіни WP9290 </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 xml:space="preserve">Колодки гальмівні </w:t>
            </w:r>
            <w:r w:rsidRPr="003A1753">
              <w:rPr>
                <w:sz w:val="18"/>
                <w:szCs w:val="18"/>
                <w:lang w:val="en-US"/>
              </w:rPr>
              <w:t>GDB3426</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Амортизатор 4853-080619</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Амортизатор 4854-080015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Стійка 4883-033040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4881-833100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Стійка 4875-033130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413373</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Т458075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516692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Т458431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Тяга 72022009</w:t>
            </w:r>
            <w:r w:rsidRPr="003A1753">
              <w:rPr>
                <w:sz w:val="18"/>
                <w:szCs w:val="18"/>
                <w:lang w:val="en-US"/>
              </w:rPr>
              <w:t>R</w:t>
            </w:r>
            <w:r w:rsidRPr="003A1753">
              <w:rPr>
                <w:sz w:val="18"/>
                <w:szCs w:val="18"/>
              </w:rPr>
              <w:t xml:space="preserve">; </w:t>
            </w:r>
            <w:r w:rsidRPr="003A1753">
              <w:rPr>
                <w:sz w:val="18"/>
                <w:szCs w:val="18"/>
                <w:lang w:val="en-US"/>
              </w:rPr>
              <w:t>BH21291B</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2307-2</w:t>
            </w:r>
            <w:r w:rsidRPr="003A1753">
              <w:rPr>
                <w:sz w:val="18"/>
                <w:szCs w:val="18"/>
                <w:lang w:val="en-US"/>
              </w:rPr>
              <w:t>D000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 xml:space="preserve">Втулка </w:t>
            </w:r>
            <w:r w:rsidRPr="003A1753">
              <w:rPr>
                <w:sz w:val="18"/>
                <w:szCs w:val="18"/>
                <w:lang w:val="en-US"/>
              </w:rPr>
              <w:t>RU4112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Лампа 1987302806</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Скло АВ22328С</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2110-2906050-2;2110-2906040;2108-2904040;2108-2904046;2108-2904050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Опора 2110-2902820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Пильовик 900001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Підшипник 713691100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0986424668</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511501</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 xml:space="preserve">Фільтр </w:t>
            </w:r>
            <w:r w:rsidRPr="003A1753">
              <w:rPr>
                <w:sz w:val="18"/>
                <w:szCs w:val="18"/>
                <w:lang w:val="en-US"/>
              </w:rPr>
              <w:t>JT98K</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 xml:space="preserve">Фільтр </w:t>
            </w:r>
            <w:r w:rsidRPr="003A1753">
              <w:rPr>
                <w:sz w:val="18"/>
                <w:szCs w:val="18"/>
                <w:lang w:val="en-US"/>
              </w:rPr>
              <w:t>F026403758</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Фільтр</w:t>
            </w:r>
            <w:r w:rsidRPr="003A1753">
              <w:rPr>
                <w:sz w:val="18"/>
                <w:szCs w:val="18"/>
                <w:lang w:val="en-US"/>
              </w:rPr>
              <w:t xml:space="preserve"> 3F 1461/1</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Фільтр</w:t>
            </w:r>
            <w:r w:rsidRPr="003A1753">
              <w:rPr>
                <w:sz w:val="18"/>
                <w:szCs w:val="18"/>
                <w:lang w:val="en-US"/>
              </w:rPr>
              <w:t xml:space="preserve"> 1457429957</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КПП 3307170010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Кришка КПП 3307170201010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Рессора 33092913012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НШ – 32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Гидроцилиндр 3507018603010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Шкворня 33073000100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3</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bookmarkStart w:id="12" w:name="OLE_LINK3"/>
            <w:r w:rsidRPr="003A1753">
              <w:rPr>
                <w:sz w:val="18"/>
                <w:szCs w:val="18"/>
              </w:rPr>
              <w:t xml:space="preserve">Кермова тяга </w:t>
            </w:r>
            <w:bookmarkEnd w:id="12"/>
            <w:r w:rsidRPr="003A1753">
              <w:rPr>
                <w:sz w:val="18"/>
                <w:szCs w:val="18"/>
              </w:rPr>
              <w:t>53А-3003008</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16</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Кермова тяга 130-3003032</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гальмівні 33073502090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3</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гальмівні 43013501090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3</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гальмівні 130-3502090-15</w:t>
            </w:r>
          </w:p>
        </w:tc>
        <w:tc>
          <w:tcPr>
            <w:tcW w:w="1134" w:type="dxa"/>
          </w:tcPr>
          <w:p w:rsidR="003D10ED" w:rsidRPr="003A1753" w:rsidRDefault="003D10ED" w:rsidP="00302427">
            <w:pPr>
              <w:spacing w:line="360" w:lineRule="auto"/>
              <w:rPr>
                <w:sz w:val="18"/>
                <w:szCs w:val="18"/>
              </w:rPr>
            </w:pPr>
            <w:r w:rsidRPr="003A1753">
              <w:rPr>
                <w:sz w:val="18"/>
                <w:szCs w:val="18"/>
              </w:rPr>
              <w:t>Ком-т</w:t>
            </w:r>
          </w:p>
        </w:tc>
        <w:tc>
          <w:tcPr>
            <w:tcW w:w="2215" w:type="dxa"/>
          </w:tcPr>
          <w:p w:rsidR="003D10ED" w:rsidRPr="003A1753" w:rsidRDefault="003D10ED" w:rsidP="00302427">
            <w:pPr>
              <w:spacing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Камера гальмівна 100.3519010-01</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Ремкомплект 33083551800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ГГЦ 5311350521101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Циліндр гальмівний 43013502040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Циліндр гальмівний 43013501040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6</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Генератор Г250Г3-3701000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Стартер 230А1-3708000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Акумулятор 6СТ 75 АН</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Акумулятор 6СТ-90</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Зчеплення 531601090+53-1601090+5311-1601185</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Дзеркало ЗД. огляду 33078201418</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10</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Фонарі ЗД. 1605835445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Блок ПР121-3722000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Щітка СЛ100-5205900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Лампа H4 8711252009407</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10</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Акумулятор 6СТ-100-R</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Шкворень 33073000100 (РЗ 30,5)</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Редуктор 53-2402010-11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Диск 6JХ16 ET120 - 6X205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C0M010ABE</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C0M008ABE</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Генератор 0120469982(</w:t>
            </w:r>
            <w:r w:rsidRPr="003A1753">
              <w:rPr>
                <w:sz w:val="18"/>
                <w:szCs w:val="18"/>
                <w:lang w:val="en-US"/>
              </w:rPr>
              <w:t>AAN3106</w:t>
            </w:r>
            <w:r w:rsidRPr="003A1753">
              <w:rPr>
                <w:sz w:val="18"/>
                <w:szCs w:val="18"/>
              </w:rPr>
              <w:t>)</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Стартер 0986011550(50151)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Ламп 55554SKMDKM</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5</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Фільтр HU9324X</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Фільтр BFU700X</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Щітка 3 397 004 670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Трос 1987477125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Трос 1987477126</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bl>
    <w:p w:rsidR="00E00E52" w:rsidRDefault="00E00E52" w:rsidP="00E00E52">
      <w:pPr>
        <w:spacing w:after="0" w:line="240" w:lineRule="auto"/>
        <w:ind w:left="284" w:firstLine="283"/>
        <w:jc w:val="both"/>
        <w:rPr>
          <w:rFonts w:ascii="Times New Roman" w:hAnsi="Times New Roman"/>
          <w:sz w:val="24"/>
          <w:szCs w:val="24"/>
        </w:rPr>
      </w:pPr>
    </w:p>
    <w:p w:rsidR="005E713C" w:rsidRPr="004B29F7" w:rsidRDefault="005E713C" w:rsidP="00E00E52">
      <w:pPr>
        <w:spacing w:after="0" w:line="240" w:lineRule="auto"/>
        <w:ind w:left="284" w:firstLine="283"/>
        <w:jc w:val="both"/>
        <w:rPr>
          <w:rFonts w:ascii="Times New Roman" w:hAnsi="Times New Roman"/>
          <w:sz w:val="24"/>
          <w:szCs w:val="24"/>
        </w:rPr>
      </w:pPr>
    </w:p>
    <w:p w:rsidR="00723DE5" w:rsidRPr="004B29F7" w:rsidRDefault="00E00E52" w:rsidP="001128FA">
      <w:pPr>
        <w:spacing w:after="0" w:line="240" w:lineRule="auto"/>
        <w:ind w:left="284" w:firstLine="283"/>
        <w:jc w:val="both"/>
        <w:rPr>
          <w:rFonts w:ascii="Times New Roman" w:hAnsi="Times New Roman"/>
          <w:b/>
          <w:sz w:val="24"/>
          <w:szCs w:val="24"/>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 </w:t>
      </w:r>
      <w:r w:rsidR="00742B9F">
        <w:rPr>
          <w:rFonts w:ascii="Times New Roman" w:hAnsi="Times New Roman"/>
          <w:sz w:val="24"/>
          <w:szCs w:val="24"/>
        </w:rPr>
        <w:t>Вінницька обл., м. Калинівка.</w:t>
      </w:r>
    </w:p>
    <w:sectPr w:rsidR="00723DE5" w:rsidRPr="004B29F7"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DB" w:rsidRDefault="00B427DB" w:rsidP="00572165">
      <w:pPr>
        <w:spacing w:after="0" w:line="240" w:lineRule="auto"/>
      </w:pPr>
      <w:r>
        <w:separator/>
      </w:r>
    </w:p>
  </w:endnote>
  <w:endnote w:type="continuationSeparator" w:id="1">
    <w:p w:rsidR="00B427DB" w:rsidRDefault="00B427DB"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DB" w:rsidRDefault="00B427DB" w:rsidP="00572165">
      <w:pPr>
        <w:spacing w:after="0" w:line="240" w:lineRule="auto"/>
      </w:pPr>
      <w:r>
        <w:separator/>
      </w:r>
    </w:p>
  </w:footnote>
  <w:footnote w:type="continuationSeparator" w:id="1">
    <w:p w:rsidR="00B427DB" w:rsidRDefault="00B427DB"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B934B0" w:rsidRDefault="00B22138">
        <w:pPr>
          <w:pStyle w:val="aa"/>
          <w:jc w:val="center"/>
        </w:pPr>
        <w:r>
          <w:fldChar w:fldCharType="begin"/>
        </w:r>
        <w:r w:rsidR="00B934B0">
          <w:instrText>PAGE   \* MERGEFORMAT</w:instrText>
        </w:r>
        <w:r>
          <w:fldChar w:fldCharType="separate"/>
        </w:r>
        <w:r w:rsidR="001A5527" w:rsidRPr="001A5527">
          <w:rPr>
            <w:noProof/>
            <w:lang w:val="ru-RU"/>
          </w:rPr>
          <w:t>33</w:t>
        </w:r>
        <w:r>
          <w:fldChar w:fldCharType="end"/>
        </w:r>
      </w:p>
    </w:sdtContent>
  </w:sdt>
  <w:p w:rsidR="00B934B0" w:rsidRDefault="00B934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40BC"/>
    <w:rsid w:val="00045262"/>
    <w:rsid w:val="00046247"/>
    <w:rsid w:val="00070CC4"/>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2190A"/>
    <w:rsid w:val="00121E9A"/>
    <w:rsid w:val="00122CD8"/>
    <w:rsid w:val="0012354D"/>
    <w:rsid w:val="00124D37"/>
    <w:rsid w:val="0012631C"/>
    <w:rsid w:val="00132E31"/>
    <w:rsid w:val="00134CAA"/>
    <w:rsid w:val="00142594"/>
    <w:rsid w:val="001456CB"/>
    <w:rsid w:val="00146C96"/>
    <w:rsid w:val="001474EC"/>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C6882"/>
    <w:rsid w:val="001C6A83"/>
    <w:rsid w:val="001C7D4A"/>
    <w:rsid w:val="001D0B39"/>
    <w:rsid w:val="001E2FA5"/>
    <w:rsid w:val="001E77D4"/>
    <w:rsid w:val="001F1D65"/>
    <w:rsid w:val="001F74C6"/>
    <w:rsid w:val="002032C2"/>
    <w:rsid w:val="00204E1F"/>
    <w:rsid w:val="00211367"/>
    <w:rsid w:val="00217CE2"/>
    <w:rsid w:val="002250CB"/>
    <w:rsid w:val="00225566"/>
    <w:rsid w:val="002519F8"/>
    <w:rsid w:val="002531BA"/>
    <w:rsid w:val="00263176"/>
    <w:rsid w:val="00274433"/>
    <w:rsid w:val="00275D0D"/>
    <w:rsid w:val="00276C47"/>
    <w:rsid w:val="002776C7"/>
    <w:rsid w:val="00281A25"/>
    <w:rsid w:val="00286F79"/>
    <w:rsid w:val="00291D79"/>
    <w:rsid w:val="002976D1"/>
    <w:rsid w:val="002B1FB0"/>
    <w:rsid w:val="002B219F"/>
    <w:rsid w:val="002B6637"/>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51B3"/>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C334F"/>
    <w:rsid w:val="004D096D"/>
    <w:rsid w:val="004E5CD5"/>
    <w:rsid w:val="004F07C3"/>
    <w:rsid w:val="0050086A"/>
    <w:rsid w:val="00502347"/>
    <w:rsid w:val="00507290"/>
    <w:rsid w:val="00507A3D"/>
    <w:rsid w:val="00511AFA"/>
    <w:rsid w:val="00522A46"/>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ED4"/>
    <w:rsid w:val="00627537"/>
    <w:rsid w:val="00631E71"/>
    <w:rsid w:val="00635779"/>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75761"/>
    <w:rsid w:val="00776BC3"/>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24B8F"/>
    <w:rsid w:val="00831ECB"/>
    <w:rsid w:val="008411D8"/>
    <w:rsid w:val="0084709B"/>
    <w:rsid w:val="00851F5C"/>
    <w:rsid w:val="008520B7"/>
    <w:rsid w:val="0085295F"/>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5C57"/>
    <w:rsid w:val="008F6011"/>
    <w:rsid w:val="008F735D"/>
    <w:rsid w:val="00901074"/>
    <w:rsid w:val="0090620E"/>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72001"/>
    <w:rsid w:val="00A8113D"/>
    <w:rsid w:val="00A83DAB"/>
    <w:rsid w:val="00A85382"/>
    <w:rsid w:val="00A917BF"/>
    <w:rsid w:val="00AA49CE"/>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6D18"/>
    <w:rsid w:val="00B377F6"/>
    <w:rsid w:val="00B427DB"/>
    <w:rsid w:val="00B5004E"/>
    <w:rsid w:val="00B61388"/>
    <w:rsid w:val="00B66703"/>
    <w:rsid w:val="00B71926"/>
    <w:rsid w:val="00B934B0"/>
    <w:rsid w:val="00BA08DE"/>
    <w:rsid w:val="00BA14AF"/>
    <w:rsid w:val="00BA1DD2"/>
    <w:rsid w:val="00BA214E"/>
    <w:rsid w:val="00BA6D6B"/>
    <w:rsid w:val="00BA7306"/>
    <w:rsid w:val="00BB23B7"/>
    <w:rsid w:val="00BB3165"/>
    <w:rsid w:val="00BB5E3F"/>
    <w:rsid w:val="00BC3A86"/>
    <w:rsid w:val="00BC58C8"/>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45EB"/>
    <w:rsid w:val="00C260F5"/>
    <w:rsid w:val="00C26B51"/>
    <w:rsid w:val="00C30757"/>
    <w:rsid w:val="00C330F3"/>
    <w:rsid w:val="00C33C2A"/>
    <w:rsid w:val="00C4426A"/>
    <w:rsid w:val="00C50EA0"/>
    <w:rsid w:val="00C51CA5"/>
    <w:rsid w:val="00C57DB0"/>
    <w:rsid w:val="00C66326"/>
    <w:rsid w:val="00C66DCF"/>
    <w:rsid w:val="00C67A72"/>
    <w:rsid w:val="00C713BE"/>
    <w:rsid w:val="00C76241"/>
    <w:rsid w:val="00C802EF"/>
    <w:rsid w:val="00C8422E"/>
    <w:rsid w:val="00C850B9"/>
    <w:rsid w:val="00C91280"/>
    <w:rsid w:val="00C92BB8"/>
    <w:rsid w:val="00C95250"/>
    <w:rsid w:val="00C96604"/>
    <w:rsid w:val="00CA1595"/>
    <w:rsid w:val="00CA2D25"/>
    <w:rsid w:val="00CA50EB"/>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37ACB"/>
    <w:rsid w:val="00D40941"/>
    <w:rsid w:val="00D44BF5"/>
    <w:rsid w:val="00D47459"/>
    <w:rsid w:val="00D47972"/>
    <w:rsid w:val="00D83DA9"/>
    <w:rsid w:val="00D842D7"/>
    <w:rsid w:val="00D93C9F"/>
    <w:rsid w:val="00D971B1"/>
    <w:rsid w:val="00D9788E"/>
    <w:rsid w:val="00DA5128"/>
    <w:rsid w:val="00DB36A9"/>
    <w:rsid w:val="00DB36FF"/>
    <w:rsid w:val="00DD2ADC"/>
    <w:rsid w:val="00DE13C9"/>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94CF9"/>
    <w:rsid w:val="00E95F73"/>
    <w:rsid w:val="00EA46F1"/>
    <w:rsid w:val="00EA5285"/>
    <w:rsid w:val="00EA6231"/>
    <w:rsid w:val="00EB0153"/>
    <w:rsid w:val="00EB5F91"/>
    <w:rsid w:val="00EC20B6"/>
    <w:rsid w:val="00ED62E5"/>
    <w:rsid w:val="00F015B6"/>
    <w:rsid w:val="00F04F61"/>
    <w:rsid w:val="00F10C49"/>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5526"/>
    <w:rsid w:val="00FC1639"/>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5E9-265B-451F-96AE-E941A6F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35</Pages>
  <Words>49389</Words>
  <Characters>28152</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130</cp:revision>
  <cp:lastPrinted>2021-10-25T12:42:00Z</cp:lastPrinted>
  <dcterms:created xsi:type="dcterms:W3CDTF">2022-10-24T09:52:00Z</dcterms:created>
  <dcterms:modified xsi:type="dcterms:W3CDTF">2023-02-22T12:40:00Z</dcterms:modified>
</cp:coreProperties>
</file>