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bookmarkStart w:id="0" w:name="_GoBack"/>
      <w:bookmarkEnd w:id="0"/>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581762">
        <w:rPr>
          <w:rStyle w:val="a3"/>
          <w:rFonts w:ascii="Times New Roman" w:eastAsia="Times New Roman" w:hAnsi="Times New Roman" w:cs="Times New Roman"/>
          <w:b/>
          <w:i w:val="0"/>
          <w:sz w:val="22"/>
          <w:szCs w:val="22"/>
          <w:lang w:val="uk-UA"/>
        </w:rPr>
        <w:t>Електричні конвектори</w:t>
      </w:r>
      <w:r w:rsidR="00E802B6">
        <w:rPr>
          <w:rStyle w:val="a3"/>
          <w:rFonts w:ascii="Times New Roman" w:eastAsia="Times New Roman" w:hAnsi="Times New Roman" w:cs="Times New Roman"/>
          <w:b/>
          <w:i w:val="0"/>
          <w:sz w:val="22"/>
          <w:szCs w:val="22"/>
          <w:lang w:val="uk-UA"/>
        </w:rPr>
        <w:t xml:space="preserve"> </w:t>
      </w:r>
      <w:r w:rsidR="008512AF">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8512AF">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581762">
        <w:rPr>
          <w:rStyle w:val="a3"/>
          <w:rFonts w:ascii="Times New Roman" w:eastAsia="Times New Roman" w:hAnsi="Times New Roman" w:cs="Times New Roman"/>
          <w:b/>
          <w:i w:val="0"/>
          <w:sz w:val="22"/>
          <w:szCs w:val="22"/>
        </w:rPr>
        <w:t>39710000-2</w:t>
      </w:r>
      <w:r w:rsidR="008512AF">
        <w:rPr>
          <w:rStyle w:val="a3"/>
          <w:rFonts w:ascii="Times New Roman" w:eastAsia="Times New Roman" w:hAnsi="Times New Roman" w:cs="Times New Roman"/>
          <w:b/>
          <w:i w:val="0"/>
          <w:sz w:val="22"/>
          <w:szCs w:val="22"/>
          <w:lang w:val="uk-UA"/>
        </w:rPr>
        <w:t xml:space="preserve"> «</w:t>
      </w:r>
      <w:r w:rsidR="00581762">
        <w:rPr>
          <w:rStyle w:val="a3"/>
          <w:rFonts w:ascii="Times New Roman" w:eastAsia="Times New Roman" w:hAnsi="Times New Roman" w:cs="Times New Roman"/>
          <w:b/>
          <w:i w:val="0"/>
          <w:sz w:val="22"/>
          <w:szCs w:val="22"/>
          <w:lang w:val="uk-UA"/>
        </w:rPr>
        <w:t>Електричні побутові прилади</w:t>
      </w:r>
      <w:r w:rsidR="008512AF">
        <w:rPr>
          <w:rStyle w:val="a3"/>
          <w:rFonts w:ascii="Times New Roman" w:eastAsia="Times New Roman" w:hAnsi="Times New Roman" w:cs="Times New Roman"/>
          <w:b/>
          <w:i w:val="0"/>
          <w:sz w:val="22"/>
          <w:szCs w:val="22"/>
          <w:lang w:val="uk-UA"/>
        </w:rPr>
        <w:t>»</w:t>
      </w:r>
      <w:r w:rsidR="008512AF"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A867DC">
        <w:rPr>
          <w:rStyle w:val="a3"/>
          <w:rFonts w:ascii="Times New Roman" w:eastAsia="Times New Roman" w:hAnsi="Times New Roman" w:cs="Times New Roman"/>
          <w:i w:val="0"/>
          <w:sz w:val="22"/>
          <w:szCs w:val="22"/>
          <w:lang w:val="uk-UA"/>
        </w:rPr>
        <w:t>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8512AF">
        <w:rPr>
          <w:rStyle w:val="a3"/>
          <w:rFonts w:ascii="Times New Roman" w:eastAsia="Times New Roman" w:hAnsi="Times New Roman" w:cs="Times New Roman"/>
          <w:i w:val="0"/>
          <w:sz w:val="22"/>
          <w:szCs w:val="22"/>
          <w:lang w:val="uk-UA"/>
        </w:rPr>
        <w:t>Специфікації (</w:t>
      </w:r>
      <w:r w:rsidR="00123F74" w:rsidRPr="003E4C46">
        <w:rPr>
          <w:rStyle w:val="a3"/>
          <w:rFonts w:ascii="Times New Roman" w:eastAsia="Times New Roman" w:hAnsi="Times New Roman" w:cs="Times New Roman"/>
          <w:i w:val="0"/>
          <w:sz w:val="22"/>
          <w:szCs w:val="22"/>
          <w:lang w:val="uk-UA"/>
        </w:rPr>
        <w:t>Додатку №1</w:t>
      </w:r>
      <w:r w:rsidR="008512AF">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sidRPr="004C30E9">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та  монтажу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581762">
        <w:rPr>
          <w:rStyle w:val="a3"/>
          <w:rFonts w:ascii="Times New Roman" w:eastAsia="Times New Roman" w:hAnsi="Times New Roman" w:cs="Times New Roman"/>
          <w:b/>
          <w:i w:val="0"/>
          <w:sz w:val="22"/>
          <w:szCs w:val="22"/>
          <w:lang w:val="uk-UA"/>
        </w:rPr>
        <w:t>19</w:t>
      </w:r>
      <w:r w:rsidR="003D626C" w:rsidRPr="008E0E56">
        <w:rPr>
          <w:rStyle w:val="a3"/>
          <w:rFonts w:ascii="Times New Roman" w:eastAsia="Times New Roman" w:hAnsi="Times New Roman" w:cs="Times New Roman"/>
          <w:b/>
          <w:i w:val="0"/>
          <w:sz w:val="22"/>
          <w:szCs w:val="22"/>
          <w:lang w:val="uk-UA"/>
        </w:rPr>
        <w:t>.12</w:t>
      </w:r>
      <w:r w:rsidR="00FC77A6" w:rsidRPr="008E0E56">
        <w:rPr>
          <w:rStyle w:val="a3"/>
          <w:rFonts w:ascii="Times New Roman" w:eastAsia="Times New Roman" w:hAnsi="Times New Roman" w:cs="Times New Roman"/>
          <w:b/>
          <w:i w:val="0"/>
          <w:sz w:val="22"/>
          <w:szCs w:val="22"/>
          <w:lang w:val="uk-UA"/>
        </w:rPr>
        <w:t>.2023 року</w:t>
      </w:r>
      <w:r w:rsidR="00383AB8" w:rsidRPr="008E0E5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3D626C" w:rsidRPr="004C30E9" w:rsidRDefault="001B2EDE" w:rsidP="004C30E9">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w:t>
      </w:r>
      <w:r w:rsidR="003D626C">
        <w:rPr>
          <w:rStyle w:val="a3"/>
          <w:rFonts w:ascii="Times New Roman" w:eastAsia="Times New Roman" w:hAnsi="Times New Roman" w:cs="Times New Roman"/>
          <w:i w:val="0"/>
          <w:sz w:val="22"/>
          <w:szCs w:val="22"/>
          <w:lang w:val="uk-UA"/>
        </w:rPr>
        <w:t xml:space="preserve">та монтаж </w:t>
      </w:r>
      <w:r w:rsidRPr="003E4C46">
        <w:rPr>
          <w:rStyle w:val="a3"/>
          <w:rFonts w:ascii="Times New Roman" w:eastAsia="Times New Roman" w:hAnsi="Times New Roman" w:cs="Times New Roman"/>
          <w:i w:val="0"/>
          <w:sz w:val="22"/>
          <w:szCs w:val="22"/>
          <w:lang w:val="uk-UA"/>
        </w:rPr>
        <w:t>Товару здійснюється в робочі дні (з понеділка по п’ятницю) з</w:t>
      </w:r>
      <w:r w:rsidR="004C30E9">
        <w:rPr>
          <w:rStyle w:val="a3"/>
          <w:rFonts w:ascii="Times New Roman" w:eastAsia="Times New Roman" w:hAnsi="Times New Roman" w:cs="Times New Roman"/>
          <w:i w:val="0"/>
          <w:sz w:val="22"/>
          <w:szCs w:val="22"/>
          <w:lang w:val="uk-UA"/>
        </w:rPr>
        <w:t xml:space="preserve"> 08:00 до 17:00 годин за </w:t>
      </w:r>
      <w:proofErr w:type="spellStart"/>
      <w:r w:rsidR="004C30E9">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r w:rsidR="003D626C" w:rsidRPr="008E0E56">
        <w:rPr>
          <w:rStyle w:val="a3"/>
          <w:rFonts w:ascii="Times New Roman" w:eastAsia="Times New Roman" w:hAnsi="Times New Roman" w:cs="Times New Roman"/>
          <w:b/>
          <w:i w:val="0"/>
          <w:sz w:val="22"/>
          <w:szCs w:val="22"/>
          <w:lang w:val="uk-UA"/>
        </w:rPr>
        <w:t xml:space="preserve">Миколаївська область, м. Баштанка, </w:t>
      </w:r>
      <w:r w:rsidRPr="008E0E56">
        <w:rPr>
          <w:rStyle w:val="a3"/>
          <w:rFonts w:ascii="Times New Roman" w:eastAsia="Times New Roman" w:hAnsi="Times New Roman" w:cs="Times New Roman"/>
          <w:b/>
          <w:i w:val="0"/>
          <w:sz w:val="22"/>
          <w:szCs w:val="22"/>
          <w:lang w:val="uk-UA"/>
        </w:rPr>
        <w:t xml:space="preserve">вул. </w:t>
      </w:r>
      <w:r w:rsidR="008512AF">
        <w:rPr>
          <w:rStyle w:val="a3"/>
          <w:rFonts w:ascii="Times New Roman" w:eastAsia="Times New Roman" w:hAnsi="Times New Roman" w:cs="Times New Roman"/>
          <w:b/>
          <w:i w:val="0"/>
          <w:sz w:val="22"/>
          <w:szCs w:val="22"/>
          <w:lang w:val="uk-UA"/>
        </w:rPr>
        <w:t>Полтавська, 41</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xml:space="preserve">. Факт приймання </w:t>
      </w:r>
      <w:r w:rsidR="00E64460">
        <w:rPr>
          <w:rStyle w:val="a3"/>
          <w:rFonts w:ascii="Times New Roman" w:eastAsia="Times New Roman" w:hAnsi="Times New Roman" w:cs="Times New Roman"/>
          <w:i w:val="0"/>
          <w:sz w:val="22"/>
          <w:szCs w:val="22"/>
          <w:lang w:val="uk-UA"/>
        </w:rPr>
        <w:t xml:space="preserve">та монтажу </w:t>
      </w:r>
      <w:r w:rsidR="00E24B66" w:rsidRPr="003E4C46">
        <w:rPr>
          <w:rStyle w:val="a3"/>
          <w:rFonts w:ascii="Times New Roman" w:eastAsia="Times New Roman" w:hAnsi="Times New Roman" w:cs="Times New Roman"/>
          <w:i w:val="0"/>
          <w:sz w:val="22"/>
          <w:szCs w:val="22"/>
          <w:lang w:val="uk-UA"/>
        </w:rPr>
        <w:t>Товару</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8512AF"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4.3.</w:t>
      </w:r>
      <w:r w:rsidR="008512AF" w:rsidRPr="008512AF">
        <w:rPr>
          <w:rFonts w:ascii="Times New Roman" w:hAnsi="Times New Roman" w:cs="Times New Roman"/>
          <w:sz w:val="22"/>
          <w:szCs w:val="22"/>
          <w:lang w:val="uk-UA"/>
        </w:rPr>
        <w:t xml:space="preserve"> </w:t>
      </w:r>
      <w:r w:rsidR="008512AF"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8512AF">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8512AF">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8512AF">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8512AF">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8512AF">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виявлені при прийманні-передачі </w:t>
      </w:r>
      <w:r w:rsidR="00E64460">
        <w:rPr>
          <w:rFonts w:ascii="Times New Roman" w:hAnsi="Times New Roman" w:cs="Times New Roman"/>
          <w:color w:val="auto"/>
          <w:lang w:val="uk-UA"/>
        </w:rPr>
        <w:t xml:space="preserve">та 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lastRenderedPageBreak/>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w:t>
      </w:r>
      <w:r w:rsidR="00157AC7">
        <w:rPr>
          <w:color w:val="000000"/>
          <w:sz w:val="22"/>
          <w:szCs w:val="22"/>
          <w:lang w:val="uk-UA"/>
        </w:rPr>
        <w:t xml:space="preserve"> Договір може бути розірвано в односторонньому порядку</w:t>
      </w:r>
      <w:r w:rsidR="0058036A">
        <w:rPr>
          <w:color w:val="000000"/>
          <w:sz w:val="22"/>
          <w:szCs w:val="22"/>
          <w:lang w:val="uk-UA"/>
        </w:rPr>
        <w:t xml:space="preserve">, відповідно до умов передбачених </w:t>
      </w:r>
      <w:r w:rsidR="00157AC7">
        <w:rPr>
          <w:color w:val="000000"/>
          <w:sz w:val="22"/>
          <w:szCs w:val="22"/>
          <w:lang w:val="uk-UA"/>
        </w:rPr>
        <w:t xml:space="preserve"> </w:t>
      </w:r>
      <w:r w:rsidR="0058036A">
        <w:rPr>
          <w:color w:val="000000"/>
          <w:sz w:val="22"/>
          <w:szCs w:val="22"/>
          <w:lang w:val="uk-UA"/>
        </w:rPr>
        <w:t>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lastRenderedPageBreak/>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E6259F" w:rsidRDefault="00774B53" w:rsidP="00E6259F">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A867DC">
        <w:rPr>
          <w:rStyle w:val="a3"/>
          <w:rFonts w:ascii="Times New Roman" w:hAnsi="Times New Roman" w:cs="Times New Roman"/>
          <w:i w:val="0"/>
          <w:sz w:val="22"/>
          <w:szCs w:val="22"/>
          <w:lang w:val="uk-UA"/>
        </w:rPr>
        <w:t>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2B06EF">
            <w:pPr>
              <w:autoSpaceDE w:val="0"/>
              <w:autoSpaceDN w:val="0"/>
              <w:adjustRightInd w:val="0"/>
              <w:ind w:left="181"/>
              <w:rPr>
                <w:rStyle w:val="a3"/>
                <w:rFonts w:ascii="Times New Roman" w:hAnsi="Times New Roman" w:cs="Times New Roman"/>
                <w:i w:val="0"/>
                <w:sz w:val="22"/>
                <w:szCs w:val="22"/>
                <w:lang w:val="uk-UA"/>
              </w:rPr>
            </w:pP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B864DA" w:rsidRPr="00E6259F" w:rsidRDefault="00B864DA" w:rsidP="00B864DA">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B864DA" w:rsidTr="00E6259F">
        <w:trPr>
          <w:gridAfter w:val="1"/>
          <w:wAfter w:w="1281" w:type="dxa"/>
          <w:trHeight w:val="349"/>
        </w:trPr>
        <w:tc>
          <w:tcPr>
            <w:tcW w:w="567"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B864DA" w:rsidTr="00E6259F">
        <w:tblPrEx>
          <w:tblLook w:val="04A0" w:firstRow="1" w:lastRow="0" w:firstColumn="1" w:lastColumn="0" w:noHBand="0" w:noVBand="1"/>
        </w:tblPrEx>
        <w:trPr>
          <w:trHeight w:val="149"/>
        </w:trPr>
        <w:tc>
          <w:tcPr>
            <w:tcW w:w="567"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276"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r w:rsidR="00B864DA" w:rsidTr="00E6259F">
        <w:tblPrEx>
          <w:tblLook w:val="04A0" w:firstRow="1" w:lastRow="0" w:firstColumn="1" w:lastColumn="0" w:noHBand="0" w:noVBand="1"/>
        </w:tblPrEx>
        <w:tc>
          <w:tcPr>
            <w:tcW w:w="8789"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B864DA"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E6259F" w:rsidRDefault="00E6259F">
      <w:pPr>
        <w:rPr>
          <w:lang w:val="uk-UA"/>
        </w:rPr>
      </w:pPr>
    </w:p>
    <w:p w:rsidR="00E6259F" w:rsidRDefault="00E6259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Default="000D4FC9" w:rsidP="000D4FC9">
      <w:pPr>
        <w:contextualSpacing/>
        <w:rPr>
          <w:rFonts w:ascii="Times New Roman" w:hAnsi="Times New Roman" w:cs="Times New Roman"/>
          <w:sz w:val="22"/>
          <w:szCs w:val="22"/>
          <w:lang w:val="uk-UA"/>
        </w:rPr>
      </w:pPr>
    </w:p>
    <w:p w:rsidR="00E6259F" w:rsidRPr="00137AFF" w:rsidRDefault="00E6259F" w:rsidP="000D4FC9">
      <w:pPr>
        <w:contextualSpacing/>
        <w:rPr>
          <w:rFonts w:ascii="Times New Roman" w:hAnsi="Times New Roman" w:cs="Times New Roman"/>
          <w:sz w:val="22"/>
          <w:szCs w:val="22"/>
          <w:lang w:val="uk-UA"/>
        </w:rPr>
      </w:pPr>
    </w:p>
    <w:p w:rsidR="00E6259F" w:rsidRPr="00E6259F" w:rsidRDefault="00E6259F" w:rsidP="00E6259F">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E6259F" w:rsidRPr="00540C78" w:rsidRDefault="00E6259F" w:rsidP="00E6259F">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E6259F" w:rsidTr="000C384E">
        <w:trPr>
          <w:gridAfter w:val="1"/>
          <w:wAfter w:w="1281" w:type="dxa"/>
          <w:trHeight w:val="349"/>
        </w:trPr>
        <w:tc>
          <w:tcPr>
            <w:tcW w:w="567"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E6259F" w:rsidTr="000C384E">
        <w:tblPrEx>
          <w:tblLook w:val="04A0" w:firstRow="1" w:lastRow="0" w:firstColumn="1" w:lastColumn="0" w:noHBand="0" w:noVBand="1"/>
        </w:tblPrEx>
        <w:trPr>
          <w:trHeight w:val="149"/>
        </w:trPr>
        <w:tc>
          <w:tcPr>
            <w:tcW w:w="567" w:type="dxa"/>
          </w:tcPr>
          <w:p w:rsidR="00E6259F" w:rsidRPr="00ED1F3A" w:rsidRDefault="00E6259F" w:rsidP="000C384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E6259F" w:rsidRPr="00464DF4" w:rsidRDefault="00E6259F" w:rsidP="000C384E">
            <w:pPr>
              <w:rPr>
                <w:rFonts w:ascii="Times New Roman" w:hAnsi="Times New Roman" w:cs="Times New Roman"/>
              </w:rPr>
            </w:pPr>
          </w:p>
        </w:tc>
        <w:tc>
          <w:tcPr>
            <w:tcW w:w="1275" w:type="dxa"/>
          </w:tcPr>
          <w:p w:rsidR="00E6259F" w:rsidRPr="00ED1F3A" w:rsidRDefault="00E6259F" w:rsidP="000C384E">
            <w:pPr>
              <w:jc w:val="center"/>
              <w:rPr>
                <w:rFonts w:ascii="Times New Roman" w:hAnsi="Times New Roman" w:cs="Times New Roman"/>
                <w:lang w:val="uk-UA"/>
              </w:rPr>
            </w:pPr>
          </w:p>
        </w:tc>
        <w:tc>
          <w:tcPr>
            <w:tcW w:w="1276" w:type="dxa"/>
          </w:tcPr>
          <w:p w:rsidR="00E6259F" w:rsidRPr="00ED1F3A" w:rsidRDefault="00E6259F" w:rsidP="000C384E">
            <w:pPr>
              <w:jc w:val="center"/>
              <w:rPr>
                <w:rFonts w:ascii="Times New Roman" w:hAnsi="Times New Roman" w:cs="Times New Roman"/>
                <w:lang w:val="uk-UA"/>
              </w:rPr>
            </w:pPr>
          </w:p>
        </w:tc>
        <w:tc>
          <w:tcPr>
            <w:tcW w:w="1418" w:type="dxa"/>
          </w:tcPr>
          <w:p w:rsidR="00E6259F" w:rsidRPr="00ED1F3A" w:rsidRDefault="00E6259F" w:rsidP="000C384E">
            <w:pPr>
              <w:jc w:val="center"/>
              <w:rPr>
                <w:rFonts w:ascii="Times New Roman" w:hAnsi="Times New Roman" w:cs="Times New Roman"/>
                <w:lang w:val="uk-UA"/>
              </w:rPr>
            </w:pP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ED1F3A" w:rsidRDefault="00E6259F" w:rsidP="000C384E">
            <w:pPr>
              <w:rPr>
                <w:rFonts w:ascii="Times New Roman" w:hAnsi="Times New Roman" w:cs="Times New Roman"/>
                <w:lang w:val="uk-UA"/>
              </w:rPr>
            </w:pPr>
            <w:r>
              <w:rPr>
                <w:rFonts w:ascii="Times New Roman" w:hAnsi="Times New Roman" w:cs="Times New Roman"/>
                <w:b/>
                <w:sz w:val="22"/>
                <w:szCs w:val="22"/>
                <w:lang w:val="uk-UA"/>
              </w:rPr>
              <w:t>Разом</w:t>
            </w:r>
            <w:r w:rsidRPr="00137AFF">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без ПДВ, </w:t>
            </w:r>
            <w:r w:rsidRPr="00137AFF">
              <w:rPr>
                <w:rFonts w:ascii="Times New Roman" w:hAnsi="Times New Roman" w:cs="Times New Roman"/>
                <w:b/>
                <w:sz w:val="22"/>
                <w:szCs w:val="22"/>
                <w:lang w:val="uk-UA"/>
              </w:rPr>
              <w:t>(грн.):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137AF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ПДВ 20%,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Всього з ПДВ,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bl>
    <w:p w:rsidR="00E6259F" w:rsidRDefault="00E6259F" w:rsidP="00E6259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E6259F" w:rsidRPr="00541369" w:rsidRDefault="00E6259F" w:rsidP="00E6259F">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E6259F"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6660E7" w:rsidRPr="005D3330" w:rsidRDefault="006660E7" w:rsidP="008512AF">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B2AB4"/>
    <w:rsid w:val="000B2C15"/>
    <w:rsid w:val="000D3D19"/>
    <w:rsid w:val="000D4FC9"/>
    <w:rsid w:val="001048CE"/>
    <w:rsid w:val="00123F74"/>
    <w:rsid w:val="00137AFF"/>
    <w:rsid w:val="00157AC7"/>
    <w:rsid w:val="001645EE"/>
    <w:rsid w:val="001726FF"/>
    <w:rsid w:val="001762EF"/>
    <w:rsid w:val="001B0FA7"/>
    <w:rsid w:val="001B2886"/>
    <w:rsid w:val="001B2EDE"/>
    <w:rsid w:val="001C0C5C"/>
    <w:rsid w:val="001C239E"/>
    <w:rsid w:val="001C5862"/>
    <w:rsid w:val="001D63EB"/>
    <w:rsid w:val="001E5810"/>
    <w:rsid w:val="001F1731"/>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A1A2B"/>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0E9"/>
    <w:rsid w:val="004C366F"/>
    <w:rsid w:val="004C4061"/>
    <w:rsid w:val="004D4B0E"/>
    <w:rsid w:val="00517437"/>
    <w:rsid w:val="00522020"/>
    <w:rsid w:val="0053445C"/>
    <w:rsid w:val="00541369"/>
    <w:rsid w:val="00543117"/>
    <w:rsid w:val="0054440C"/>
    <w:rsid w:val="0058036A"/>
    <w:rsid w:val="00581762"/>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12AF"/>
    <w:rsid w:val="00854A07"/>
    <w:rsid w:val="00874449"/>
    <w:rsid w:val="008B7EE5"/>
    <w:rsid w:val="008E068B"/>
    <w:rsid w:val="008E0E56"/>
    <w:rsid w:val="008E294E"/>
    <w:rsid w:val="008E432D"/>
    <w:rsid w:val="00901197"/>
    <w:rsid w:val="009035CD"/>
    <w:rsid w:val="00921B46"/>
    <w:rsid w:val="00933EE9"/>
    <w:rsid w:val="00976784"/>
    <w:rsid w:val="00987F04"/>
    <w:rsid w:val="009A1D99"/>
    <w:rsid w:val="009A73FA"/>
    <w:rsid w:val="009B2088"/>
    <w:rsid w:val="009C7DD9"/>
    <w:rsid w:val="009D289D"/>
    <w:rsid w:val="009D7471"/>
    <w:rsid w:val="00A16466"/>
    <w:rsid w:val="00A27DDF"/>
    <w:rsid w:val="00A40A5E"/>
    <w:rsid w:val="00A578B8"/>
    <w:rsid w:val="00A61B2B"/>
    <w:rsid w:val="00A867DC"/>
    <w:rsid w:val="00A90350"/>
    <w:rsid w:val="00AA79E7"/>
    <w:rsid w:val="00AC19E7"/>
    <w:rsid w:val="00AC24F6"/>
    <w:rsid w:val="00AC35F0"/>
    <w:rsid w:val="00B13DAB"/>
    <w:rsid w:val="00B4316C"/>
    <w:rsid w:val="00B53442"/>
    <w:rsid w:val="00B81CD3"/>
    <w:rsid w:val="00B85881"/>
    <w:rsid w:val="00B858EF"/>
    <w:rsid w:val="00B864DA"/>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D00C9"/>
    <w:rsid w:val="00DF7CAF"/>
    <w:rsid w:val="00E019E2"/>
    <w:rsid w:val="00E171BE"/>
    <w:rsid w:val="00E17847"/>
    <w:rsid w:val="00E22683"/>
    <w:rsid w:val="00E24B66"/>
    <w:rsid w:val="00E33B41"/>
    <w:rsid w:val="00E52D7F"/>
    <w:rsid w:val="00E61095"/>
    <w:rsid w:val="00E6259F"/>
    <w:rsid w:val="00E64460"/>
    <w:rsid w:val="00E802B6"/>
    <w:rsid w:val="00E934C0"/>
    <w:rsid w:val="00EA398E"/>
    <w:rsid w:val="00EA41A3"/>
    <w:rsid w:val="00EC26BF"/>
    <w:rsid w:val="00EC2814"/>
    <w:rsid w:val="00ED4C96"/>
    <w:rsid w:val="00EE29C1"/>
    <w:rsid w:val="00EE619A"/>
    <w:rsid w:val="00F07508"/>
    <w:rsid w:val="00F20CDF"/>
    <w:rsid w:val="00F579E0"/>
    <w:rsid w:val="00F74291"/>
    <w:rsid w:val="00F75572"/>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C6DE-BA00-4BBA-86E6-1AD0A316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2</cp:revision>
  <cp:lastPrinted>2023-11-30T11:32:00Z</cp:lastPrinted>
  <dcterms:created xsi:type="dcterms:W3CDTF">2023-12-05T14:42:00Z</dcterms:created>
  <dcterms:modified xsi:type="dcterms:W3CDTF">2023-12-05T14:42:00Z</dcterms:modified>
</cp:coreProperties>
</file>