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77777777" w:rsidR="00202E27" w:rsidRPr="008438D6" w:rsidRDefault="00202E27" w:rsidP="00202E27">
      <w:pPr>
        <w:jc w:val="center"/>
        <w:rPr>
          <w:b/>
          <w:bCs/>
          <w:sz w:val="38"/>
          <w:szCs w:val="38"/>
        </w:rPr>
      </w:pPr>
      <w:bookmarkStart w:id="0" w:name="OLE_LINK12"/>
      <w:bookmarkStart w:id="1" w:name="OLE_LINK13"/>
      <w:bookmarkStart w:id="2" w:name="OLE_LINK1"/>
      <w:bookmarkStart w:id="3" w:name="OLE_LINK2"/>
      <w:r>
        <w:rPr>
          <w:b/>
          <w:bCs/>
          <w:sz w:val="36"/>
          <w:szCs w:val="36"/>
        </w:rPr>
        <w:t>ЛУЦЬКИЙ  ГЕРІАТРИЧНИЙ  ПАНСІОНАТ</w:t>
      </w:r>
      <w:bookmarkEnd w:id="0"/>
      <w:bookmarkEnd w:id="1"/>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5F3794F9" w:rsidR="00202E27" w:rsidRPr="007F689A" w:rsidRDefault="00202E27" w:rsidP="007C4A06">
            <w:pPr>
              <w:rPr>
                <w:b/>
                <w:bCs/>
              </w:rPr>
            </w:pPr>
            <w:r w:rsidRPr="007F689A">
              <w:rPr>
                <w:b/>
                <w:bCs/>
              </w:rPr>
              <w:t xml:space="preserve">протокол № </w:t>
            </w:r>
            <w:r w:rsidR="007A03F0">
              <w:rPr>
                <w:b/>
                <w:bCs/>
              </w:rPr>
              <w:t>209</w:t>
            </w:r>
            <w:r w:rsidR="00352BA6">
              <w:rPr>
                <w:b/>
                <w:bCs/>
              </w:rPr>
              <w:t xml:space="preserve"> </w:t>
            </w:r>
            <w:r w:rsidRPr="007F689A">
              <w:rPr>
                <w:b/>
                <w:bCs/>
              </w:rPr>
              <w:t xml:space="preserve">від </w:t>
            </w:r>
            <w:r w:rsidR="007A03F0">
              <w:rPr>
                <w:b/>
                <w:bCs/>
              </w:rPr>
              <w:t>7</w:t>
            </w:r>
            <w:r w:rsidR="00D96612">
              <w:rPr>
                <w:b/>
                <w:bCs/>
              </w:rPr>
              <w:t xml:space="preserve"> </w:t>
            </w:r>
            <w:r w:rsidR="00210CF6">
              <w:rPr>
                <w:b/>
                <w:bCs/>
              </w:rPr>
              <w:t>червня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r>
              <w:rPr>
                <w:b/>
                <w:bCs/>
              </w:rPr>
              <w:t xml:space="preserve">Ія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2"/>
    <w:bookmarkEnd w:id="3"/>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23128F11" w14:textId="764AD57B" w:rsidR="00202E27" w:rsidRPr="008438D6" w:rsidRDefault="007A03F0" w:rsidP="007A03F0">
      <w:pPr>
        <w:shd w:val="clear" w:color="auto" w:fill="FFFFFF"/>
        <w:spacing w:line="295" w:lineRule="atLeast"/>
        <w:ind w:left="-284" w:firstLine="284"/>
        <w:jc w:val="center"/>
        <w:textAlignment w:val="baseline"/>
        <w:rPr>
          <w:b/>
          <w:bCs/>
          <w:sz w:val="28"/>
          <w:szCs w:val="28"/>
        </w:rPr>
      </w:pPr>
      <w:bookmarkStart w:id="4" w:name="OLE_LINK27"/>
      <w:r>
        <w:rPr>
          <w:b/>
          <w:sz w:val="32"/>
          <w:szCs w:val="32"/>
        </w:rPr>
        <w:t>Овочі, фрукти та горіхи</w:t>
      </w:r>
      <w:r w:rsidR="00D96612" w:rsidRPr="009143F5">
        <w:rPr>
          <w:b/>
          <w:sz w:val="32"/>
          <w:szCs w:val="32"/>
        </w:rPr>
        <w:t xml:space="preserve"> </w:t>
      </w:r>
      <w:r w:rsidR="00AC115B" w:rsidRPr="00D96612">
        <w:rPr>
          <w:b/>
          <w:bCs/>
          <w:sz w:val="32"/>
          <w:szCs w:val="32"/>
        </w:rPr>
        <w:t>(код ДК 021:2015:</w:t>
      </w:r>
      <w:r>
        <w:rPr>
          <w:b/>
          <w:sz w:val="32"/>
          <w:szCs w:val="32"/>
        </w:rPr>
        <w:t>0322</w:t>
      </w:r>
      <w:r w:rsidR="00AC115B" w:rsidRPr="00D96612">
        <w:rPr>
          <w:b/>
          <w:sz w:val="32"/>
          <w:szCs w:val="32"/>
        </w:rPr>
        <w:t>0000-</w:t>
      </w:r>
      <w:r>
        <w:rPr>
          <w:b/>
          <w:sz w:val="32"/>
          <w:szCs w:val="32"/>
        </w:rPr>
        <w:t>9</w:t>
      </w:r>
      <w:r w:rsidR="00AC115B" w:rsidRPr="00D96612">
        <w:rPr>
          <w:b/>
          <w:sz w:val="32"/>
          <w:szCs w:val="32"/>
        </w:rPr>
        <w:t>)</w:t>
      </w:r>
      <w:r w:rsidR="00AC115B" w:rsidRPr="00354B9E">
        <w:rPr>
          <w:b/>
          <w:sz w:val="40"/>
          <w:szCs w:val="40"/>
        </w:rPr>
        <w:t xml:space="preserve"> </w:t>
      </w:r>
      <w:bookmarkStart w:id="5" w:name="_Hlk137029215"/>
      <w:bookmarkEnd w:id="4"/>
      <w:r w:rsidRPr="007A03F0">
        <w:rPr>
          <w:b/>
          <w:bCs/>
          <w:iCs/>
          <w:sz w:val="32"/>
          <w:szCs w:val="32"/>
        </w:rPr>
        <w:t>врожай 2023 року – буряк, морква, капуста рання, цибуля ріпчаста, кабачки, огірки, зелений салат, перець солодкий, помідори, баклажани, часник, щавель зелений, зелень</w:t>
      </w:r>
      <w:bookmarkEnd w:id="5"/>
    </w:p>
    <w:p w14:paraId="1A073248" w14:textId="77777777" w:rsidR="00202E27" w:rsidRPr="008438D6" w:rsidRDefault="00202E27" w:rsidP="00202E27">
      <w:pPr>
        <w:jc w:val="center"/>
        <w:rPr>
          <w:b/>
          <w:bCs/>
          <w:sz w:val="28"/>
          <w:szCs w:val="28"/>
        </w:rPr>
      </w:pPr>
    </w:p>
    <w:p w14:paraId="2120A2FD" w14:textId="77777777" w:rsidR="00202E27" w:rsidRPr="008438D6" w:rsidRDefault="00202E27" w:rsidP="00202E27">
      <w:pPr>
        <w:jc w:val="center"/>
        <w:rPr>
          <w:b/>
          <w:bCs/>
          <w:sz w:val="28"/>
          <w:szCs w:val="28"/>
        </w:rPr>
      </w:pP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777777" w:rsidR="00202E27" w:rsidRDefault="00202E27" w:rsidP="007058CB">
      <w:pPr>
        <w:rPr>
          <w:b/>
          <w:bCs/>
          <w:sz w:val="28"/>
          <w:szCs w:val="28"/>
        </w:rPr>
      </w:pPr>
    </w:p>
    <w:p w14:paraId="338A5FDC" w14:textId="77777777" w:rsidR="00D96612" w:rsidRDefault="00D96612" w:rsidP="007058CB">
      <w:pPr>
        <w:rPr>
          <w:b/>
          <w:bCs/>
          <w:sz w:val="28"/>
          <w:szCs w:val="28"/>
        </w:rPr>
      </w:pPr>
    </w:p>
    <w:p w14:paraId="5553C446" w14:textId="77777777" w:rsidR="00D96612" w:rsidRPr="008438D6" w:rsidRDefault="00D96612" w:rsidP="007058CB">
      <w:pPr>
        <w:rPr>
          <w:b/>
          <w:bCs/>
          <w:sz w:val="28"/>
          <w:szCs w:val="28"/>
        </w:rPr>
      </w:pPr>
    </w:p>
    <w:p w14:paraId="0B4373DB" w14:textId="12BEB22E" w:rsidR="00A127FC" w:rsidRPr="007058CB" w:rsidRDefault="00202E27" w:rsidP="007058CB">
      <w:pPr>
        <w:jc w:val="center"/>
        <w:rPr>
          <w:sz w:val="32"/>
          <w:szCs w:val="36"/>
        </w:rPr>
      </w:pPr>
      <w:r>
        <w:rPr>
          <w:sz w:val="32"/>
          <w:szCs w:val="36"/>
        </w:rPr>
        <w:t>Луцьк</w:t>
      </w:r>
      <w:r w:rsidRPr="00C83554">
        <w:rPr>
          <w:b/>
          <w:bCs/>
          <w:color w:val="121212"/>
          <w:sz w:val="32"/>
          <w:szCs w:val="36"/>
          <w:lang w:eastAsia="uk-UA"/>
        </w:rPr>
        <w:t xml:space="preserve"> </w:t>
      </w:r>
      <w:r>
        <w:rPr>
          <w:b/>
          <w:bCs/>
          <w:color w:val="121212"/>
          <w:sz w:val="32"/>
          <w:szCs w:val="36"/>
          <w:lang w:eastAsia="uk-UA"/>
        </w:rPr>
        <w:t>–</w:t>
      </w:r>
      <w:r w:rsidRPr="00E536FB">
        <w:rPr>
          <w:b/>
          <w:bCs/>
          <w:color w:val="121212"/>
          <w:sz w:val="32"/>
          <w:szCs w:val="36"/>
          <w:lang w:eastAsia="uk-UA"/>
        </w:rPr>
        <w:t xml:space="preserve"> </w:t>
      </w:r>
      <w:r w:rsidRPr="00E536FB">
        <w:rPr>
          <w:sz w:val="32"/>
          <w:szCs w:val="36"/>
        </w:rPr>
        <w:t>20</w:t>
      </w:r>
      <w:r>
        <w:rPr>
          <w:sz w:val="32"/>
          <w:szCs w:val="36"/>
        </w:rPr>
        <w:t>2</w:t>
      </w:r>
      <w:r w:rsidR="007058CB">
        <w:rPr>
          <w:sz w:val="32"/>
          <w:szCs w:val="36"/>
        </w:rPr>
        <w:t>3</w:t>
      </w:r>
      <w:r>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07F1198B" w:rsidR="003E60DC" w:rsidRDefault="00202E27"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D902D02" w:rsidR="003E60DC" w:rsidRDefault="00202E27" w:rsidP="00D81FD0">
            <w:pPr>
              <w:pStyle w:val="af8"/>
              <w:jc w:val="both"/>
              <w:rPr>
                <w:rFonts w:ascii="Times New Roman" w:hAnsi="Times New Roman"/>
                <w:szCs w:val="24"/>
                <w:lang w:val="uk-UA"/>
              </w:rPr>
            </w:pPr>
            <w:r>
              <w:rPr>
                <w:rFonts w:ascii="Times New Roman" w:eastAsia="Times New Roman" w:hAnsi="Times New Roman"/>
                <w:szCs w:val="24"/>
                <w:lang w:val="uk-UA"/>
              </w:rPr>
              <w:t>43008, Україна, Волинська обл., м. Луцьк, вул. Теремнівська,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r w:rsidR="008D009D">
              <w:rPr>
                <w:rFonts w:ascii="Times New Roman" w:hAnsi="Times New Roman"/>
                <w:szCs w:val="24"/>
                <w:lang w:val="uk-UA"/>
              </w:rPr>
              <w:t>Ія</w:t>
            </w:r>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закупівель, </w:t>
            </w:r>
          </w:p>
          <w:p w14:paraId="2EC3B14A" w14:textId="299B54C4" w:rsidR="003E60DC" w:rsidRPr="00F07B50" w:rsidRDefault="00C267AD" w:rsidP="00D81FD0">
            <w:pPr>
              <w:pStyle w:val="af8"/>
              <w:rPr>
                <w:rFonts w:ascii="Times New Roman" w:hAnsi="Times New Roman"/>
                <w:szCs w:val="24"/>
                <w:lang w:val="uk-UA"/>
              </w:rPr>
            </w:pPr>
            <w:r>
              <w:rPr>
                <w:rFonts w:ascii="Times New Roman" w:hAnsi="Times New Roman"/>
                <w:szCs w:val="24"/>
                <w:lang w:val="uk-UA"/>
              </w:rPr>
              <w:t>тел.:</w:t>
            </w:r>
            <w:r w:rsidR="00F07B50">
              <w:rPr>
                <w:rFonts w:ascii="Times New Roman" w:hAnsi="Times New Roman"/>
                <w:szCs w:val="24"/>
                <w:lang w:val="uk-UA"/>
              </w:rPr>
              <w:t xml:space="preserve"> </w:t>
            </w:r>
            <w:r w:rsidR="00F07B50" w:rsidRPr="00F07B50">
              <w:rPr>
                <w:rFonts w:ascii="Times New Roman" w:hAnsi="Times New Roman"/>
                <w:lang w:val="en-US"/>
              </w:rPr>
              <w:t>(0332) 78-00-50,78-00-51</w:t>
            </w:r>
            <w:r w:rsidR="00202E27" w:rsidRPr="00F07B50">
              <w:rPr>
                <w:rFonts w:ascii="Times New Roman" w:hAnsi="Times New Roman"/>
                <w:szCs w:val="24"/>
                <w:lang w:val="uk-UA"/>
              </w:rPr>
              <w:t>,</w:t>
            </w:r>
            <w:r w:rsidR="00202E27">
              <w:rPr>
                <w:rFonts w:ascii="Times New Roman" w:hAnsi="Times New Roman"/>
                <w:szCs w:val="24"/>
                <w:lang w:val="uk-UA"/>
              </w:rPr>
              <w:t xml:space="preserve"> </w:t>
            </w:r>
            <w:r w:rsidR="00202E27">
              <w:rPr>
                <w:rFonts w:ascii="Times New Roman" w:hAnsi="Times New Roman"/>
                <w:szCs w:val="24"/>
                <w:lang w:val="en-US"/>
              </w:rPr>
              <w:t>e</w:t>
            </w:r>
            <w:r w:rsidR="00202E27" w:rsidRPr="00F07B50">
              <w:rPr>
                <w:rFonts w:ascii="Times New Roman" w:hAnsi="Times New Roman"/>
                <w:szCs w:val="24"/>
                <w:lang w:val="en-US"/>
              </w:rPr>
              <w:t>-</w:t>
            </w:r>
            <w:r w:rsidR="00202E27" w:rsidRPr="008D009D">
              <w:rPr>
                <w:rFonts w:ascii="Times New Roman" w:hAnsi="Times New Roman"/>
                <w:szCs w:val="24"/>
                <w:lang w:val="en-US"/>
              </w:rPr>
              <w:t>mail</w:t>
            </w:r>
            <w:r w:rsidR="00202E27" w:rsidRPr="008D009D">
              <w:rPr>
                <w:rFonts w:ascii="Times New Roman" w:hAnsi="Times New Roman"/>
                <w:szCs w:val="24"/>
                <w:lang w:val="uk-UA"/>
              </w:rPr>
              <w:t xml:space="preserve">: </w:t>
            </w:r>
            <w:r w:rsidR="00202E27" w:rsidRPr="008D009D">
              <w:rPr>
                <w:rFonts w:ascii="Times New Roman" w:hAnsi="Times New Roman"/>
                <w:lang w:val="en-US"/>
              </w:rPr>
              <w:t>lutsk</w:t>
            </w:r>
            <w:r w:rsidR="00202E27" w:rsidRPr="00F07B50">
              <w:rPr>
                <w:rFonts w:ascii="Times New Roman" w:hAnsi="Times New Roman"/>
                <w:lang w:val="en-US"/>
              </w:rPr>
              <w:t>_</w:t>
            </w:r>
            <w:r w:rsidR="00202E27" w:rsidRPr="008D009D">
              <w:rPr>
                <w:rFonts w:ascii="Times New Roman" w:hAnsi="Times New Roman"/>
                <w:lang w:val="en-US"/>
              </w:rPr>
              <w:t>pansionat</w:t>
            </w:r>
            <w:r w:rsidR="00202E27" w:rsidRPr="00F07B50">
              <w:rPr>
                <w:rFonts w:ascii="Times New Roman" w:hAnsi="Times New Roman"/>
                <w:lang w:val="en-US"/>
              </w:rPr>
              <w:t>@</w:t>
            </w:r>
            <w:r w:rsidR="00202E27" w:rsidRPr="008D009D">
              <w:rPr>
                <w:rFonts w:ascii="Times New Roman" w:hAnsi="Times New Roman"/>
                <w:lang w:val="en-US"/>
              </w:rPr>
              <w:t>ukr</w:t>
            </w:r>
            <w:r w:rsidR="00202E27" w:rsidRPr="00F07B50">
              <w:rPr>
                <w:rFonts w:ascii="Times New Roman" w:hAnsi="Times New Roman"/>
                <w:lang w:val="en-US"/>
              </w:rPr>
              <w:t>.</w:t>
            </w:r>
            <w:r w:rsidR="00202E27"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503D574" w14:textId="408E2226" w:rsidR="003E60DC" w:rsidRPr="00210CF6" w:rsidRDefault="00D96612" w:rsidP="00D96612">
            <w:pPr>
              <w:jc w:val="both"/>
              <w:rPr>
                <w:bCs/>
                <w:highlight w:val="yellow"/>
              </w:rPr>
            </w:pPr>
            <w:r w:rsidRPr="007A03F0">
              <w:rPr>
                <w:bCs/>
              </w:rPr>
              <w:t xml:space="preserve">Код ДК 021:2015 – </w:t>
            </w:r>
            <w:r w:rsidR="007A03F0">
              <w:rPr>
                <w:bCs/>
              </w:rPr>
              <w:t>0322</w:t>
            </w:r>
            <w:r w:rsidRPr="007A03F0">
              <w:rPr>
                <w:bCs/>
              </w:rPr>
              <w:t>0000-</w:t>
            </w:r>
            <w:r w:rsidR="007A03F0">
              <w:rPr>
                <w:bCs/>
              </w:rPr>
              <w:t>9</w:t>
            </w:r>
            <w:r w:rsidRPr="007A03F0">
              <w:rPr>
                <w:bCs/>
              </w:rPr>
              <w:t xml:space="preserve"> </w:t>
            </w:r>
            <w:r w:rsidR="007A03F0">
              <w:rPr>
                <w:bCs/>
              </w:rPr>
              <w:t>Овочі, фрукти та горіхи</w:t>
            </w:r>
            <w:r w:rsidRPr="007A03F0">
              <w:rPr>
                <w:bCs/>
              </w:rPr>
              <w:t xml:space="preserve"> (</w:t>
            </w:r>
            <w:r w:rsidR="007A03F0" w:rsidRPr="007A03F0">
              <w:rPr>
                <w:iCs/>
              </w:rPr>
              <w:t>врожай 2023 року – буряк, морква, капуста рання, цибуля ріпчаста, кабачки, огірки, зелений салат, перець солодкий, помідори, баклажани, часник, щавель зелений, зелень</w:t>
            </w:r>
            <w:r w:rsidRPr="007A03F0">
              <w:rPr>
                <w:bCs/>
              </w:rPr>
              <w:t>)  (далі – Товар)</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ECD1897" w14:textId="77777777" w:rsidR="00902B3D" w:rsidRDefault="00902B3D" w:rsidP="00902B3D">
            <w:pPr>
              <w:tabs>
                <w:tab w:val="left" w:pos="2160"/>
                <w:tab w:val="left" w:pos="3600"/>
              </w:tabs>
              <w:jc w:val="both"/>
            </w:pPr>
            <w:r w:rsidRPr="001133CD">
              <w:rPr>
                <w:b/>
              </w:rPr>
              <w:t>Обсяг поставки товару</w:t>
            </w:r>
            <w:r w:rsidRPr="00EF5990">
              <w:t xml:space="preserve">: </w:t>
            </w:r>
          </w:p>
          <w:p w14:paraId="52E91F9D" w14:textId="31304024" w:rsidR="007058CB" w:rsidRPr="007A03F0" w:rsidRDefault="007A03F0" w:rsidP="00902B3D">
            <w:pPr>
              <w:jc w:val="both"/>
              <w:rPr>
                <w:bCs/>
              </w:rPr>
            </w:pPr>
            <w:r w:rsidRPr="007A03F0">
              <w:rPr>
                <w:bCs/>
              </w:rPr>
              <w:t>буряк-400 кг, моркв</w:t>
            </w:r>
            <w:r>
              <w:rPr>
                <w:bCs/>
              </w:rPr>
              <w:t>а</w:t>
            </w:r>
            <w:r w:rsidRPr="007A03F0">
              <w:rPr>
                <w:bCs/>
              </w:rPr>
              <w:t>-400 кг, капуст</w:t>
            </w:r>
            <w:r>
              <w:rPr>
                <w:bCs/>
              </w:rPr>
              <w:t>а</w:t>
            </w:r>
            <w:r w:rsidRPr="007A03F0">
              <w:rPr>
                <w:bCs/>
              </w:rPr>
              <w:t xml:space="preserve"> ранн</w:t>
            </w:r>
            <w:r>
              <w:rPr>
                <w:bCs/>
              </w:rPr>
              <w:t>я</w:t>
            </w:r>
            <w:r w:rsidRPr="007A03F0">
              <w:rPr>
                <w:bCs/>
              </w:rPr>
              <w:t>-1 000 кг, цибул</w:t>
            </w:r>
            <w:r>
              <w:rPr>
                <w:bCs/>
              </w:rPr>
              <w:t>я</w:t>
            </w:r>
            <w:r w:rsidRPr="007A03F0">
              <w:rPr>
                <w:bCs/>
              </w:rPr>
              <w:t xml:space="preserve"> ріпчаст</w:t>
            </w:r>
            <w:r>
              <w:rPr>
                <w:bCs/>
              </w:rPr>
              <w:t>а</w:t>
            </w:r>
            <w:r w:rsidRPr="007A03F0">
              <w:rPr>
                <w:bCs/>
              </w:rPr>
              <w:t>-500 кг, кабачк</w:t>
            </w:r>
            <w:r>
              <w:rPr>
                <w:bCs/>
              </w:rPr>
              <w:t>и</w:t>
            </w:r>
            <w:r w:rsidRPr="007A03F0">
              <w:rPr>
                <w:bCs/>
              </w:rPr>
              <w:t>-1 040 кг, огірк</w:t>
            </w:r>
            <w:r>
              <w:rPr>
                <w:bCs/>
              </w:rPr>
              <w:t>и</w:t>
            </w:r>
            <w:r w:rsidRPr="007A03F0">
              <w:rPr>
                <w:bCs/>
              </w:rPr>
              <w:t>-1 400 кг, зелен</w:t>
            </w:r>
            <w:r>
              <w:rPr>
                <w:bCs/>
              </w:rPr>
              <w:t>ий</w:t>
            </w:r>
            <w:r w:rsidRPr="007A03F0">
              <w:rPr>
                <w:bCs/>
              </w:rPr>
              <w:t xml:space="preserve"> салат-200 кг, пер</w:t>
            </w:r>
            <w:r>
              <w:rPr>
                <w:bCs/>
              </w:rPr>
              <w:t>ець</w:t>
            </w:r>
            <w:r w:rsidRPr="007A03F0">
              <w:rPr>
                <w:bCs/>
              </w:rPr>
              <w:t xml:space="preserve"> солодк</w:t>
            </w:r>
            <w:r>
              <w:rPr>
                <w:bCs/>
              </w:rPr>
              <w:t>ий</w:t>
            </w:r>
            <w:r w:rsidRPr="007A03F0">
              <w:rPr>
                <w:bCs/>
              </w:rPr>
              <w:t>-300 кг, помідор</w:t>
            </w:r>
            <w:r>
              <w:rPr>
                <w:bCs/>
              </w:rPr>
              <w:t>и</w:t>
            </w:r>
            <w:r w:rsidRPr="007A03F0">
              <w:rPr>
                <w:bCs/>
              </w:rPr>
              <w:t>-1 000 кг, баклажан</w:t>
            </w:r>
            <w:r>
              <w:rPr>
                <w:bCs/>
              </w:rPr>
              <w:t>и</w:t>
            </w:r>
            <w:r w:rsidRPr="007A03F0">
              <w:rPr>
                <w:bCs/>
              </w:rPr>
              <w:t>-300 кг, часник-10 кг, щав</w:t>
            </w:r>
            <w:r>
              <w:rPr>
                <w:bCs/>
              </w:rPr>
              <w:t>е</w:t>
            </w:r>
            <w:r w:rsidRPr="007A03F0">
              <w:rPr>
                <w:bCs/>
              </w:rPr>
              <w:t>л</w:t>
            </w:r>
            <w:r>
              <w:rPr>
                <w:bCs/>
              </w:rPr>
              <w:t>ь</w:t>
            </w:r>
            <w:r w:rsidRPr="007A03F0">
              <w:rPr>
                <w:bCs/>
              </w:rPr>
              <w:t xml:space="preserve"> зелен</w:t>
            </w:r>
            <w:r>
              <w:rPr>
                <w:bCs/>
              </w:rPr>
              <w:t>ий</w:t>
            </w:r>
            <w:r w:rsidRPr="007A03F0">
              <w:rPr>
                <w:bCs/>
              </w:rPr>
              <w:t>-250 кг, зелень-100 кг</w:t>
            </w:r>
          </w:p>
          <w:p w14:paraId="7C8BF6E9" w14:textId="4EE199D8" w:rsidR="008D009D" w:rsidRDefault="003E60DC" w:rsidP="00A127FC">
            <w:pPr>
              <w:tabs>
                <w:tab w:val="left" w:pos="2160"/>
                <w:tab w:val="left" w:pos="3600"/>
              </w:tabs>
              <w:jc w:val="both"/>
            </w:pPr>
            <w:r w:rsidRPr="001133CD">
              <w:rPr>
                <w:b/>
              </w:rPr>
              <w:t xml:space="preserve">Місце </w:t>
            </w:r>
            <w:r w:rsidR="004E3250" w:rsidRPr="001133CD">
              <w:rPr>
                <w:b/>
              </w:rPr>
              <w:t>поставки товару</w:t>
            </w:r>
            <w:r w:rsidRPr="00EF5990">
              <w:t xml:space="preserve">: </w:t>
            </w:r>
            <w:r w:rsidR="001133CD">
              <w:t xml:space="preserve">43008, Україна, Волинська обл., </w:t>
            </w:r>
          </w:p>
          <w:p w14:paraId="1408844B" w14:textId="04A3D7BC" w:rsidR="003E60DC" w:rsidRPr="00CA3924" w:rsidRDefault="001133CD" w:rsidP="00A127FC">
            <w:pPr>
              <w:tabs>
                <w:tab w:val="left" w:pos="2160"/>
                <w:tab w:val="left" w:pos="3600"/>
              </w:tabs>
              <w:jc w:val="both"/>
            </w:pPr>
            <w:r>
              <w:t>м. Луцьк, вул. Теремнівська, 70.</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 xml:space="preserve">Учасники (резиденти та нерезиденти) всіх форм власності та організаційно-правових форм беруть участь у процедурах </w:t>
            </w:r>
            <w:r w:rsidRPr="00A80D70">
              <w:rPr>
                <w:lang w:eastAsia="uk-UA"/>
              </w:rPr>
              <w:lastRenderedPageBreak/>
              <w:t>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іноземній 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r w:rsidRPr="00182BE3">
              <w:rPr>
                <w:rFonts w:ascii="Times New Roman" w:eastAsia="Times New Roman" w:hAnsi="Times New Roman"/>
                <w:bCs/>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 xml:space="preserve">несення змін до тендерної </w:t>
            </w:r>
            <w:r w:rsidR="003E60DC">
              <w:rPr>
                <w:rFonts w:ascii="Times New Roman" w:hAnsi="Times New Roman"/>
                <w:szCs w:val="24"/>
                <w:lang w:val="uk-UA"/>
              </w:rPr>
              <w:lastRenderedPageBreak/>
              <w:t>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lastRenderedPageBreak/>
              <w:t xml:space="preserve">2.1. </w:t>
            </w:r>
            <w:r w:rsidR="004F30E6" w:rsidRPr="004F30E6">
              <w:rPr>
                <w:rFonts w:ascii="Times New Roman" w:hAnsi="Times New Roman"/>
                <w:szCs w:val="24"/>
                <w:lang w:val="uk-UA"/>
              </w:rPr>
              <w:t xml:space="preserve">Замовник має право з власної ініціативи або у разі </w:t>
            </w:r>
            <w:r w:rsidR="004F30E6" w:rsidRPr="004F30E6">
              <w:rPr>
                <w:rFonts w:ascii="Times New Roman" w:hAnsi="Times New Roman"/>
                <w:szCs w:val="24"/>
                <w:lang w:val="uk-UA"/>
              </w:rPr>
              <w:lastRenderedPageBreak/>
              <w:t xml:space="preserve">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r w:rsidR="005A6CBA" w:rsidRPr="005A6CBA">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xml:space="preserve">- інших документів, необхідність подання яких у складі </w:t>
            </w:r>
            <w:r w:rsidRPr="009836A6">
              <w:rPr>
                <w:color w:val="000000"/>
                <w:lang w:eastAsia="uk-UA"/>
              </w:rPr>
              <w:lastRenderedPageBreak/>
              <w:t>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6"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6"/>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та завантажити скан</w:t>
            </w:r>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xml:space="preserve">- інформація (довідка, складена учасником в довільній формі) про службових (посадових) осіб учасника, яких </w:t>
            </w:r>
            <w:r>
              <w:lastRenderedPageBreak/>
              <w:t>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w:t>
            </w:r>
            <w:r w:rsidRPr="003F4020">
              <w:rPr>
                <w:color w:val="auto"/>
                <w:lang w:val="uk-UA"/>
              </w:rPr>
              <w:lastRenderedPageBreak/>
              <w:t>інформація про спосіб підтвердження відповідності учасників установленим критеріям і вимогам згідно із 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w:t>
            </w:r>
            <w:r w:rsidR="00114CF7" w:rsidRPr="00114CF7">
              <w:rPr>
                <w:rFonts w:ascii="Times New Roman" w:hAnsi="Times New Roman" w:cs="Times New Roman"/>
                <w:color w:val="auto"/>
                <w:sz w:val="24"/>
                <w:szCs w:val="24"/>
                <w:lang w:val="uk-UA"/>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7" w:name="n632"/>
            <w:bookmarkEnd w:id="7"/>
            <w:r>
              <w:rPr>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3B9A1E4D" w:rsidR="008B2797" w:rsidRDefault="008B2797" w:rsidP="008B2797">
            <w:pPr>
              <w:widowControl w:val="0"/>
              <w:jc w:val="both"/>
            </w:pPr>
            <w:r>
              <w:t xml:space="preserve">11) </w:t>
            </w:r>
            <w:r w:rsidR="00E26B41" w:rsidRPr="00E26B41">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w:t>
            </w:r>
            <w:r>
              <w:lastRenderedPageBreak/>
              <w:t>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8" w:name="n1278"/>
            <w:bookmarkEnd w:id="8"/>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4A09DB7D"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44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Pr>
                <w:color w:val="auto"/>
              </w:rPr>
              <w:t xml:space="preserve"> з урахуванням вимог, визначених частини четвертою статті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420DB2E4"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 </w:t>
            </w:r>
            <w:r w:rsidR="004A322B" w:rsidRPr="004A322B">
              <w:rPr>
                <w:bCs/>
                <w:snapToGrid w:val="0"/>
              </w:rPr>
              <w:t>1</w:t>
            </w:r>
            <w:r w:rsidR="00E871BC">
              <w:rPr>
                <w:bCs/>
                <w:snapToGrid w:val="0"/>
              </w:rPr>
              <w:t>5</w:t>
            </w:r>
            <w:r w:rsidR="004A322B" w:rsidRPr="004A322B">
              <w:rPr>
                <w:bCs/>
                <w:snapToGrid w:val="0"/>
              </w:rPr>
              <w:t>.06.202</w:t>
            </w:r>
            <w:r w:rsidR="004A322B" w:rsidRPr="004A322B">
              <w:rPr>
                <w:bCs/>
                <w:snapToGrid w:val="0"/>
                <w:lang w:val="ru-RU"/>
              </w:rPr>
              <w:t>3</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r w:rsidR="00D00E20">
              <w:rPr>
                <w:lang w:val="ru-RU"/>
              </w:rPr>
              <w:t>Отримана тендерна пропозиція вноситься автоматично до реєстру отриманих тендерних пропозицій</w:t>
            </w:r>
            <w:r>
              <w:t>.</w:t>
            </w:r>
          </w:p>
          <w:p w14:paraId="0546C9CF" w14:textId="35A20CBB" w:rsidR="003E60DC" w:rsidRDefault="003E60DC" w:rsidP="007930C4">
            <w:pPr>
              <w:widowControl w:val="0"/>
              <w:contextualSpacing/>
              <w:jc w:val="both"/>
            </w:pPr>
            <w:r>
              <w:t xml:space="preserve">1.3. </w:t>
            </w:r>
            <w:r w:rsidR="00D00E2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r w:rsidR="007930C4" w:rsidRPr="007930C4">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80E5F">
              <w:rPr>
                <w:rFonts w:ascii="Times New Roman" w:hAnsi="Times New Roman"/>
                <w:szCs w:val="24"/>
                <w:lang w:val="uk-UA"/>
              </w:rPr>
              <w:t xml:space="preserve"> </w:t>
            </w:r>
            <w:r w:rsidR="00180E5F">
              <w:rPr>
                <w:rFonts w:ascii="Times New Roman" w:hAnsi="Times New Roman"/>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4DB9E1AB"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Pr="00471609">
              <w:rPr>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930010">
                <w:rPr>
                  <w:rStyle w:val="affe"/>
                  <w:color w:val="auto"/>
                  <w:highlight w:val="whit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повідомлення з вимогою про усунення таких невідповідностей в електронній системі закупівель</w:t>
            </w:r>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r w:rsidR="000E487F" w:rsidRPr="000E487F">
              <w:rPr>
                <w:rStyle w:val="aa"/>
                <w:rFonts w:ascii="Times New Roman" w:hAnsi="Times New Roman"/>
                <w:b w:val="0"/>
                <w:sz w:val="24"/>
                <w:szCs w:val="24"/>
              </w:rPr>
              <w:t>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w:t>
            </w:r>
            <w:r>
              <w:rPr>
                <w:color w:val="000000"/>
                <w:lang w:val="uk-UA"/>
              </w:rPr>
              <w:t>.</w:t>
            </w:r>
            <w:r w:rsidR="004517EF" w:rsidRPr="003E31E9">
              <w:rPr>
                <w:color w:val="000000"/>
              </w:rPr>
              <w:t xml:space="preserve"> Інформація/документ, подана учасником процедури закупівлі у складі тендерної пропозиції, містить помилку (помилки) у частині:</w:t>
            </w:r>
          </w:p>
          <w:p w14:paraId="709C7981"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великої літери;</w:t>
            </w:r>
          </w:p>
          <w:p w14:paraId="3DEE39E2"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уживання розділових знаків та відмінювання слів у реченні;</w:t>
            </w:r>
          </w:p>
          <w:p w14:paraId="772F5BDB"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використання слова або мовного звороту, запозичених з іншої мови;</w:t>
            </w:r>
          </w:p>
          <w:p w14:paraId="6EE3C8B5"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застосування правил переносу частини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t>написання слів разом та/або окремо, та/або через дефіс;</w:t>
            </w:r>
          </w:p>
          <w:p w14:paraId="26D119F9" w14:textId="77777777" w:rsidR="004517EF" w:rsidRPr="003E31E9" w:rsidRDefault="004517EF" w:rsidP="004517EF">
            <w:pPr>
              <w:pStyle w:val="rvps2"/>
              <w:shd w:val="clear" w:color="auto" w:fill="FFFFFF"/>
              <w:spacing w:beforeAutospacing="0" w:afterAutospacing="0"/>
              <w:jc w:val="both"/>
              <w:rPr>
                <w:color w:val="000000"/>
              </w:rPr>
            </w:pPr>
            <w:r w:rsidRPr="003E31E9">
              <w:rPr>
                <w:color w:val="000000"/>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r w:rsidRPr="003E31E9">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закупівель у разі, коли:</w:t>
            </w:r>
          </w:p>
          <w:p w14:paraId="176A3C07" w14:textId="77777777" w:rsidR="00275E64" w:rsidRPr="00055ADB" w:rsidRDefault="00275E64" w:rsidP="00275E64">
            <w:pPr>
              <w:ind w:firstLine="220"/>
              <w:jc w:val="both"/>
              <w:rPr>
                <w:b/>
                <w:bCs/>
                <w:i/>
                <w:iCs/>
              </w:rPr>
            </w:pPr>
            <w:r w:rsidRPr="00055ADB">
              <w:rPr>
                <w:b/>
                <w:bCs/>
                <w:i/>
                <w:iCs/>
                <w:lang w:eastAsia="en-US"/>
              </w:rPr>
              <w:t>1) учасник процедури закупівлі:</w:t>
            </w:r>
          </w:p>
          <w:p w14:paraId="618D87AC" w14:textId="0DE3A25A"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75E64">
              <w:t>пункту 39  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29B3F0" w14:textId="05397027"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надав обґрунтування аномально низької ціни тендерної </w:t>
            </w:r>
            <w:r w:rsidR="00275E64">
              <w:rPr>
                <w:shd w:val="solid" w:color="FFFFFF" w:fill="FFFFFF"/>
                <w:lang w:eastAsia="en-US"/>
              </w:rPr>
              <w:lastRenderedPageBreak/>
              <w:t>пропозиції протягом строку, визначеного в частині чотирнадцятій статті 29 Закону;</w:t>
            </w:r>
          </w:p>
          <w:p w14:paraId="32E8D662" w14:textId="415E90DC"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абзацу другого пункту 36 особливостей</w:t>
            </w:r>
            <w:r w:rsidR="00275E64">
              <w:rPr>
                <w:shd w:val="solid" w:color="FFFFFF" w:fill="FFFFFF"/>
                <w:lang w:eastAsia="en-US"/>
              </w:rPr>
              <w:t>;</w:t>
            </w:r>
          </w:p>
          <w:p w14:paraId="39445B5B" w14:textId="58506AF2" w:rsidR="00275E64" w:rsidRDefault="00055ADB" w:rsidP="00275E64">
            <w:pPr>
              <w:ind w:firstLine="220"/>
              <w:jc w:val="both"/>
              <w:rPr>
                <w:rFonts w:eastAsia="SimSun"/>
                <w:shd w:val="clear" w:color="auto" w:fill="FFFFFF"/>
              </w:rPr>
            </w:pPr>
            <w:r>
              <w:rPr>
                <w:rFonts w:eastAsia="SimSun"/>
                <w:shd w:val="clear" w:color="auto" w:fill="FFFFFF"/>
              </w:rPr>
              <w:t xml:space="preserve">- </w:t>
            </w:r>
            <w:r w:rsidR="00275E64">
              <w:rPr>
                <w:rFonts w:eastAsia="SimSu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142164DB"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lastRenderedPageBreak/>
              <w:t>3) переможець процедури закупівлі:</w:t>
            </w:r>
          </w:p>
          <w:p w14:paraId="39811657" w14:textId="5D23DE7E" w:rsidR="00275E64" w:rsidRDefault="00055ADB" w:rsidP="00275E6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B45A124" w:rsidR="00275E64" w:rsidRDefault="00055ADB" w:rsidP="00275E6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изначених пунктом 47 цих особливостей”;</w:t>
            </w:r>
          </w:p>
          <w:p w14:paraId="1D6E401A" w14:textId="6BC59BE7" w:rsidR="00275E64" w:rsidRDefault="00055ADB" w:rsidP="00275E64">
            <w:pPr>
              <w:ind w:firstLine="220"/>
              <w:jc w:val="both"/>
              <w:rPr>
                <w:lang w:eastAsia="en-US"/>
              </w:rPr>
            </w:pPr>
            <w:r>
              <w:rPr>
                <w:lang w:eastAsia="en-US"/>
              </w:rPr>
              <w:t xml:space="preserve">- </w:t>
            </w:r>
            <w:r w:rsidR="00275E64">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E3A69B3" w14:textId="339E2DA1" w:rsidR="003E5F9B" w:rsidRDefault="00055ADB" w:rsidP="003E5F9B">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4BFFCF1D"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E5F9B">
              <w:t>пункту 39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закупівель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6803CD98"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 xml:space="preserve">через електронну систему закупівель, але до моменту оприлюднення договору про </w:t>
            </w:r>
            <w:r>
              <w:rPr>
                <w:lang w:eastAsia="en-US"/>
              </w:rPr>
              <w:lastRenderedPageBreak/>
              <w:t>закупівлю в електронній системі закупівель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lastRenderedPageBreak/>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5228A1B2" w:rsidR="00797583" w:rsidRDefault="00055ADB" w:rsidP="00055ADB">
            <w:pPr>
              <w:jc w:val="both"/>
            </w:pPr>
            <w:r>
              <w:t xml:space="preserve">    </w:t>
            </w:r>
            <w:r w:rsidR="0079758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 xml:space="preserve">Відкриті торги автоматично відміняються електронною </w:t>
            </w:r>
            <w:r w:rsidR="005A20AD">
              <w:rPr>
                <w:lang w:eastAsia="en-US"/>
              </w:rPr>
              <w:lastRenderedPageBreak/>
              <w:t>системою закупівель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випадку обґрунтованої необхідності строк для укладення договору може бути продовжений до 60 днів.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Разом з тендерною документацією замовником подається Про</w:t>
            </w:r>
            <w:r w:rsidR="00D96C6C">
              <w:rPr>
                <w:rFonts w:ascii="Times New Roman" w:hAnsi="Times New Roman"/>
                <w:szCs w:val="24"/>
                <w:lang w:val="uk-UA"/>
              </w:rPr>
              <w:t>є</w:t>
            </w:r>
            <w:r w:rsidRPr="00F70778">
              <w:rPr>
                <w:rFonts w:ascii="Times New Roman" w:hAnsi="Times New Roman"/>
                <w:szCs w:val="24"/>
                <w:lang w:val="uk-UA"/>
              </w:rPr>
              <w:t>кт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r>
              <w:rPr>
                <w:rFonts w:eastAsia="sans-serif"/>
                <w:color w:val="auto"/>
              </w:rPr>
              <w:t>Умови договору про закупівлю не повинні відрізнятися від змісту тендерної пропозиції переможця процедури закупівлі, </w:t>
            </w:r>
            <w:r>
              <w:rPr>
                <w:rStyle w:val="aa"/>
                <w:rFonts w:eastAsia="sans-serif"/>
                <w:b w:val="0"/>
                <w:color w:val="auto"/>
              </w:rPr>
              <w:t>у тому числі за результатами електронного аукціону,</w:t>
            </w:r>
            <w:r>
              <w:rPr>
                <w:rFonts w:eastAsia="sans-serif"/>
                <w:color w:val="auto"/>
              </w:rPr>
              <w:t> крім випадків:</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визначення грошового еквівалента зобов’язання в іноземній валюті;</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перерахунку ціни в бік зменшення ціни тендерної пропозиції переможця без зменшення обсягів закупівлі;</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r>
              <w:rPr>
                <w:color w:val="auto"/>
              </w:rPr>
              <w:t>перерахунку ціни та обсягів товарів в бік зменшення за умови необхідності приведення обсягів товарів до кратності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2) укладення договору про закупівлю з порушенням вимог </w:t>
            </w:r>
            <w:r w:rsidRPr="00E8113C">
              <w:rPr>
                <w:color w:val="000000"/>
              </w:rPr>
              <w:lastRenderedPageBreak/>
              <w:t>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4D5A0B37"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DF3922">
              <w:rPr>
                <w:rFonts w:ascii="Times New Roman" w:hAnsi="Times New Roman"/>
                <w:szCs w:val="24"/>
                <w:lang w:val="uk-UA"/>
              </w:rPr>
              <w:t xml:space="preserve">, </w:t>
            </w:r>
            <w:r w:rsidR="00DF3922">
              <w:rPr>
                <w:rFonts w:ascii="Times New Roman" w:eastAsia="Times New Roman" w:hAnsi="Times New Roman"/>
                <w:color w:val="000000"/>
                <w:szCs w:val="24"/>
                <w:lang w:val="uk-UA"/>
              </w:rPr>
              <w:t>які</w:t>
            </w:r>
            <w:r w:rsidR="007D0A4D" w:rsidRPr="00DF3922">
              <w:rPr>
                <w:rFonts w:ascii="Times New Roman" w:eastAsia="Times New Roman" w:hAnsi="Times New Roman"/>
                <w:color w:val="000000"/>
                <w:szCs w:val="24"/>
                <w:lang w:val="uk-UA"/>
              </w:rPr>
              <w:t xml:space="preserve"> зазначені в проекті договору відповідно до </w:t>
            </w:r>
            <w:r w:rsidR="00422F7F" w:rsidRPr="00DF3922">
              <w:rPr>
                <w:rFonts w:ascii="Times New Roman" w:eastAsia="Times New Roman" w:hAnsi="Times New Roman"/>
                <w:bCs/>
                <w:color w:val="000000"/>
                <w:szCs w:val="24"/>
                <w:lang w:val="uk-UA"/>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9" w:name="_Ref434319629"/>
          </w:p>
          <w:bookmarkEnd w:id="9"/>
          <w:p w14:paraId="6D8C31E5" w14:textId="7144F553"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укладеного відповідно до</w:t>
            </w:r>
            <w:r>
              <w:rPr>
                <w:color w:val="000000"/>
                <w:highlight w:val="white"/>
                <w:lang w:eastAsia="en-US"/>
              </w:rPr>
              <w:t xml:space="preserve"> </w:t>
            </w:r>
            <w:r w:rsidRPr="00DA7EF1">
              <w:rPr>
                <w:color w:val="000000"/>
                <w:highlight w:val="white"/>
                <w:lang w:eastAsia="en-US"/>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422F7F" w:rsidRPr="00E8113C">
              <w:rPr>
                <w:color w:val="000000"/>
              </w:rPr>
              <w:t>:</w:t>
            </w:r>
          </w:p>
          <w:p w14:paraId="366302D2" w14:textId="05E35850" w:rsidR="00422F7F" w:rsidRPr="00E8113C" w:rsidRDefault="00422F7F" w:rsidP="00422F7F">
            <w:pPr>
              <w:widowControl w:val="0"/>
              <w:pBdr>
                <w:top w:val="nil"/>
                <w:left w:val="nil"/>
                <w:bottom w:val="nil"/>
                <w:right w:val="nil"/>
                <w:between w:val="nil"/>
              </w:pBdr>
              <w:jc w:val="both"/>
              <w:rPr>
                <w:color w:val="000000"/>
              </w:rPr>
            </w:pPr>
            <w:r w:rsidRPr="00E8113C">
              <w:rPr>
                <w:color w:val="000000"/>
              </w:rPr>
              <w:t>1)</w:t>
            </w:r>
            <w:r w:rsidR="00DF3922" w:rsidRPr="00DA7EF1">
              <w:rPr>
                <w:color w:val="000000"/>
                <w:highlight w:val="white"/>
                <w:lang w:eastAsia="en-US"/>
              </w:rPr>
              <w:t> зменшення обсягів закупівлі, зокрема з урахуванням фактичного обсягу видатків замовника</w:t>
            </w:r>
            <w:r w:rsidRPr="00E8113C">
              <w:rPr>
                <w:color w:val="000000"/>
              </w:rPr>
              <w:t>;</w:t>
            </w:r>
          </w:p>
          <w:p w14:paraId="016388D2" w14:textId="5787C65D" w:rsidR="00422F7F" w:rsidRPr="00E8113C" w:rsidRDefault="00422F7F" w:rsidP="00422F7F">
            <w:pPr>
              <w:widowControl w:val="0"/>
              <w:pBdr>
                <w:top w:val="nil"/>
                <w:left w:val="nil"/>
                <w:bottom w:val="nil"/>
                <w:right w:val="nil"/>
                <w:between w:val="nil"/>
              </w:pBdr>
              <w:jc w:val="both"/>
              <w:rPr>
                <w:color w:val="000000"/>
              </w:rPr>
            </w:pPr>
            <w:bookmarkStart w:id="10" w:name="n1772"/>
            <w:bookmarkEnd w:id="10"/>
            <w:r w:rsidRPr="00E8113C">
              <w:rPr>
                <w:color w:val="000000"/>
              </w:rPr>
              <w:t>2)</w:t>
            </w:r>
            <w:r w:rsidR="00DF3922">
              <w:rPr>
                <w:color w:val="000000"/>
              </w:rPr>
              <w:t xml:space="preserve"> </w:t>
            </w:r>
            <w:r w:rsidR="00DF3922" w:rsidRPr="00DA7EF1">
              <w:rPr>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113C">
              <w:rPr>
                <w:color w:val="000000"/>
              </w:rPr>
              <w:t>;</w:t>
            </w:r>
          </w:p>
          <w:p w14:paraId="628487C6" w14:textId="1059FCBC"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3) </w:t>
            </w:r>
            <w:r w:rsidR="00DF3922" w:rsidRPr="00DA7EF1">
              <w:rPr>
                <w:color w:val="000000"/>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8113C">
              <w:rPr>
                <w:color w:val="000000"/>
              </w:rPr>
              <w:t>;</w:t>
            </w:r>
          </w:p>
          <w:p w14:paraId="19E8F984" w14:textId="2C6CC84E" w:rsidR="00422F7F" w:rsidRDefault="00422F7F" w:rsidP="00422F7F">
            <w:pPr>
              <w:shd w:val="clear" w:color="auto" w:fill="FFFFFF"/>
              <w:ind w:left="40" w:right="77"/>
              <w:jc w:val="both"/>
              <w:textAlignment w:val="baseline"/>
              <w:rPr>
                <w:color w:val="000000"/>
              </w:rPr>
            </w:pPr>
            <w:r w:rsidRPr="00E8113C">
              <w:rPr>
                <w:color w:val="000000"/>
              </w:rPr>
              <w:t xml:space="preserve">4) </w:t>
            </w:r>
            <w:r w:rsidR="00DF3922" w:rsidRPr="00DA7EF1">
              <w:rPr>
                <w:color w:val="000000"/>
                <w:highlight w:val="white"/>
                <w:lang w:eastAsia="en-US"/>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DF3922" w:rsidRPr="00DA7EF1">
              <w:rPr>
                <w:color w:val="000000"/>
                <w:highlight w:val="white"/>
                <w:lang w:eastAsia="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113C">
              <w:rPr>
                <w:color w:val="000000"/>
              </w:rPr>
              <w:t>;</w:t>
            </w:r>
          </w:p>
          <w:p w14:paraId="4D03B68E" w14:textId="12BACFAE"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w:t>
            </w:r>
            <w:r w:rsidR="00DF3922" w:rsidRPr="00DA7EF1">
              <w:rPr>
                <w:color w:val="000000"/>
                <w:highlight w:val="white"/>
                <w:lang w:eastAsia="en-US"/>
              </w:rPr>
              <w:t>погодження зміни ціни в договорі про закупівлю в бік зменшення (без зміни кількості (обсягу) та якості товарів, робіт і послуг)</w:t>
            </w:r>
            <w:r w:rsidRPr="00E8113C">
              <w:rPr>
                <w:color w:val="000000"/>
              </w:rPr>
              <w:t>;</w:t>
            </w:r>
          </w:p>
          <w:p w14:paraId="05217C40" w14:textId="25E5CB6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6) </w:t>
            </w:r>
            <w:r w:rsidR="00DF3922" w:rsidRPr="00DA7EF1">
              <w:rPr>
                <w:color w:val="000000"/>
                <w:highlight w:val="white"/>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DF3922">
              <w:rPr>
                <w:color w:val="000000"/>
                <w:highlight w:val="white"/>
                <w:lang w:eastAsia="en-US"/>
              </w:rPr>
              <w:t>-</w:t>
            </w:r>
            <w:r w:rsidR="00DF3922" w:rsidRPr="00DA7EF1">
              <w:rPr>
                <w:color w:val="000000"/>
                <w:highlight w:val="white"/>
                <w:lang w:eastAsia="en-US"/>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8113C">
              <w:rPr>
                <w:color w:val="000000"/>
              </w:rPr>
              <w:t>;</w:t>
            </w:r>
          </w:p>
          <w:p w14:paraId="70A853A7" w14:textId="58864A76"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7) </w:t>
            </w:r>
            <w:r w:rsidR="00DF3922" w:rsidRPr="00DA7EF1">
              <w:rPr>
                <w:color w:val="000000"/>
                <w:highlight w:val="white"/>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8113C">
              <w:rPr>
                <w:color w:val="000000"/>
              </w:rPr>
              <w:t>;</w:t>
            </w:r>
          </w:p>
          <w:p w14:paraId="049E148C" w14:textId="5806C44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8) </w:t>
            </w:r>
            <w:r w:rsidR="00DF3922" w:rsidRPr="00DA7EF1">
              <w:rPr>
                <w:color w:val="000000"/>
                <w:highlight w:val="white"/>
                <w:lang w:eastAsia="en-US"/>
              </w:rPr>
              <w:t>зміни умов у зв’язку із застосуванням положень частини шостої</w:t>
            </w:r>
            <w:r w:rsidR="00DF3922">
              <w:rPr>
                <w:color w:val="000000"/>
                <w:lang w:eastAsia="en-US"/>
              </w:rPr>
              <w:t xml:space="preserve"> </w:t>
            </w:r>
            <w:r w:rsidR="00DF3922" w:rsidRPr="00DA7EF1">
              <w:rPr>
                <w:color w:val="000000"/>
                <w:highlight w:val="white"/>
                <w:lang w:eastAsia="en-US"/>
              </w:rPr>
              <w:t>статті 41 Закону</w:t>
            </w:r>
            <w:r w:rsidRPr="00E8113C">
              <w:rPr>
                <w:color w:val="000000"/>
              </w:rPr>
              <w:t>.</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743EE1CF"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554458" w:rsidRPr="00554458">
              <w:rPr>
                <w:rFonts w:ascii="Times New Roman" w:hAnsi="Times New Roman"/>
                <w:color w:val="000000"/>
                <w:lang w:val="uk-UA"/>
              </w:rPr>
              <w:t xml:space="preserve">У разі відхилення тендерної пропозиції з підстави, визначеної </w:t>
            </w:r>
            <w:hyperlink r:id="rId22" w:anchor="n148" w:history="1">
              <w:r w:rsidR="00554458" w:rsidRPr="00554458">
                <w:rPr>
                  <w:rStyle w:val="affe"/>
                  <w:rFonts w:ascii="Times New Roman" w:hAnsi="Times New Roman"/>
                  <w:lang w:val="uk-UA"/>
                </w:rPr>
                <w:t>підпунктом 3</w:t>
              </w:r>
            </w:hyperlink>
            <w:r w:rsidR="00554458" w:rsidRPr="00554458">
              <w:rPr>
                <w:rFonts w:ascii="Times New Roman" w:hAnsi="Times New Roman"/>
                <w:color w:val="000000"/>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00554458" w:rsidRPr="00554458">
                <w:rPr>
                  <w:rStyle w:val="affe"/>
                  <w:rFonts w:ascii="Times New Roman" w:hAnsi="Times New Roman"/>
                  <w:lang w:val="uk-UA"/>
                </w:rPr>
                <w:t>Закону</w:t>
              </w:r>
            </w:hyperlink>
            <w:r w:rsidR="00554458" w:rsidRPr="00554458">
              <w:rPr>
                <w:rFonts w:ascii="Times New Roman" w:hAnsi="Times New Roman"/>
                <w:color w:val="000000"/>
                <w:lang w:val="uk-UA"/>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00554458" w:rsidRPr="00554458">
                <w:rPr>
                  <w:rStyle w:val="affe"/>
                  <w:rFonts w:ascii="Times New Roman" w:hAnsi="Times New Roman"/>
                  <w:lang w:val="uk-UA"/>
                </w:rPr>
                <w:t>статтею 33</w:t>
              </w:r>
            </w:hyperlink>
            <w:r w:rsidR="00554458" w:rsidRPr="00554458">
              <w:rPr>
                <w:rFonts w:ascii="Times New Roman" w:hAnsi="Times New Roman"/>
                <w:color w:val="000000"/>
                <w:lang w:val="uk-UA"/>
              </w:rPr>
              <w:t xml:space="preserve"> Закону та пунктом 49 Особливостей.</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25"/>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1A9A" w14:textId="77777777" w:rsidR="00D55572" w:rsidRDefault="00D55572">
      <w:r>
        <w:separator/>
      </w:r>
    </w:p>
  </w:endnote>
  <w:endnote w:type="continuationSeparator" w:id="0">
    <w:p w14:paraId="669E4717" w14:textId="77777777" w:rsidR="00D55572" w:rsidRDefault="00D5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BD57" w14:textId="77777777" w:rsidR="00D55572" w:rsidRDefault="00D55572">
      <w:r>
        <w:separator/>
      </w:r>
    </w:p>
  </w:footnote>
  <w:footnote w:type="continuationSeparator" w:id="0">
    <w:p w14:paraId="1BE4383A" w14:textId="77777777" w:rsidR="00D55572" w:rsidRDefault="00D55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8"/>
  </w:num>
  <w:num w:numId="2" w16cid:durableId="2123110962">
    <w:abstractNumId w:val="6"/>
    <w:lvlOverride w:ilvl="0">
      <w:startOverride w:val="1"/>
    </w:lvlOverride>
  </w:num>
  <w:num w:numId="3" w16cid:durableId="1876891161">
    <w:abstractNumId w:val="1"/>
    <w:lvlOverride w:ilvl="0">
      <w:startOverride w:val="1"/>
    </w:lvlOverride>
  </w:num>
  <w:num w:numId="4" w16cid:durableId="121762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7"/>
  </w:num>
  <w:num w:numId="8" w16cid:durableId="533230027">
    <w:abstractNumId w:val="1"/>
  </w:num>
  <w:num w:numId="9" w16cid:durableId="12676904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058C1"/>
    <w:rsid w:val="00013346"/>
    <w:rsid w:val="00016E98"/>
    <w:rsid w:val="000259B5"/>
    <w:rsid w:val="00047F34"/>
    <w:rsid w:val="0005274C"/>
    <w:rsid w:val="00055ADB"/>
    <w:rsid w:val="00060464"/>
    <w:rsid w:val="0006269C"/>
    <w:rsid w:val="00074E89"/>
    <w:rsid w:val="00086A77"/>
    <w:rsid w:val="000875FC"/>
    <w:rsid w:val="00087F4E"/>
    <w:rsid w:val="00091FF4"/>
    <w:rsid w:val="000D26C5"/>
    <w:rsid w:val="000D42AF"/>
    <w:rsid w:val="000D73A8"/>
    <w:rsid w:val="000D7A60"/>
    <w:rsid w:val="000E487F"/>
    <w:rsid w:val="000F49A2"/>
    <w:rsid w:val="00105828"/>
    <w:rsid w:val="00105DE3"/>
    <w:rsid w:val="00110005"/>
    <w:rsid w:val="001133CD"/>
    <w:rsid w:val="00114CF7"/>
    <w:rsid w:val="001160D3"/>
    <w:rsid w:val="0011721D"/>
    <w:rsid w:val="00122D7F"/>
    <w:rsid w:val="00122F32"/>
    <w:rsid w:val="00127B9F"/>
    <w:rsid w:val="001318FD"/>
    <w:rsid w:val="00132014"/>
    <w:rsid w:val="00141D04"/>
    <w:rsid w:val="001550B8"/>
    <w:rsid w:val="00174E58"/>
    <w:rsid w:val="00180E5F"/>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5EBB"/>
    <w:rsid w:val="001F76C6"/>
    <w:rsid w:val="002028A7"/>
    <w:rsid w:val="00202E27"/>
    <w:rsid w:val="00210CF6"/>
    <w:rsid w:val="00217B89"/>
    <w:rsid w:val="00227B10"/>
    <w:rsid w:val="002441E3"/>
    <w:rsid w:val="00244498"/>
    <w:rsid w:val="00247048"/>
    <w:rsid w:val="0025209C"/>
    <w:rsid w:val="00260D6D"/>
    <w:rsid w:val="00266893"/>
    <w:rsid w:val="00275987"/>
    <w:rsid w:val="00275E64"/>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E2781"/>
    <w:rsid w:val="002E67F3"/>
    <w:rsid w:val="00310B75"/>
    <w:rsid w:val="00312017"/>
    <w:rsid w:val="00316CD0"/>
    <w:rsid w:val="00317964"/>
    <w:rsid w:val="003247AD"/>
    <w:rsid w:val="00331F61"/>
    <w:rsid w:val="00352BA6"/>
    <w:rsid w:val="003531F2"/>
    <w:rsid w:val="00354161"/>
    <w:rsid w:val="00354B9E"/>
    <w:rsid w:val="003558FA"/>
    <w:rsid w:val="003578A8"/>
    <w:rsid w:val="003618DA"/>
    <w:rsid w:val="003624D0"/>
    <w:rsid w:val="00370F44"/>
    <w:rsid w:val="00371888"/>
    <w:rsid w:val="00373598"/>
    <w:rsid w:val="003744D0"/>
    <w:rsid w:val="00374ECD"/>
    <w:rsid w:val="00377575"/>
    <w:rsid w:val="003829CE"/>
    <w:rsid w:val="00386ABF"/>
    <w:rsid w:val="003904A7"/>
    <w:rsid w:val="003B4E03"/>
    <w:rsid w:val="003C5A1B"/>
    <w:rsid w:val="003E181F"/>
    <w:rsid w:val="003E450E"/>
    <w:rsid w:val="003E5F9B"/>
    <w:rsid w:val="003E60DC"/>
    <w:rsid w:val="003E6AA2"/>
    <w:rsid w:val="003F3B06"/>
    <w:rsid w:val="003F4020"/>
    <w:rsid w:val="003F5625"/>
    <w:rsid w:val="003F5D23"/>
    <w:rsid w:val="004003CA"/>
    <w:rsid w:val="004021A2"/>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329B1"/>
    <w:rsid w:val="00540057"/>
    <w:rsid w:val="00554458"/>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4078"/>
    <w:rsid w:val="005D4168"/>
    <w:rsid w:val="005D7FA3"/>
    <w:rsid w:val="005E6FA9"/>
    <w:rsid w:val="00600213"/>
    <w:rsid w:val="006015CF"/>
    <w:rsid w:val="006016DD"/>
    <w:rsid w:val="0061037A"/>
    <w:rsid w:val="0061205C"/>
    <w:rsid w:val="00623D27"/>
    <w:rsid w:val="006260DF"/>
    <w:rsid w:val="00626D03"/>
    <w:rsid w:val="006359F8"/>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820BB"/>
    <w:rsid w:val="007835C1"/>
    <w:rsid w:val="00786C7F"/>
    <w:rsid w:val="007930C4"/>
    <w:rsid w:val="0079352E"/>
    <w:rsid w:val="00796467"/>
    <w:rsid w:val="007974C9"/>
    <w:rsid w:val="00797583"/>
    <w:rsid w:val="00797F9B"/>
    <w:rsid w:val="007A03F0"/>
    <w:rsid w:val="007B16C3"/>
    <w:rsid w:val="007B1A30"/>
    <w:rsid w:val="007B390E"/>
    <w:rsid w:val="007B7E29"/>
    <w:rsid w:val="007C0ACE"/>
    <w:rsid w:val="007C3B66"/>
    <w:rsid w:val="007C4A06"/>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522E"/>
    <w:rsid w:val="00856B64"/>
    <w:rsid w:val="00866DC9"/>
    <w:rsid w:val="00867D5C"/>
    <w:rsid w:val="008709D6"/>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E0F39"/>
    <w:rsid w:val="00BE5D46"/>
    <w:rsid w:val="00BF3598"/>
    <w:rsid w:val="00BF7E98"/>
    <w:rsid w:val="00C00F43"/>
    <w:rsid w:val="00C03648"/>
    <w:rsid w:val="00C1271D"/>
    <w:rsid w:val="00C16A02"/>
    <w:rsid w:val="00C205B0"/>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5F8E"/>
    <w:rsid w:val="00D176CA"/>
    <w:rsid w:val="00D2336D"/>
    <w:rsid w:val="00D24506"/>
    <w:rsid w:val="00D24DCD"/>
    <w:rsid w:val="00D36D38"/>
    <w:rsid w:val="00D40896"/>
    <w:rsid w:val="00D42B4C"/>
    <w:rsid w:val="00D44BB9"/>
    <w:rsid w:val="00D44C46"/>
    <w:rsid w:val="00D471A8"/>
    <w:rsid w:val="00D55572"/>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3263"/>
    <w:rsid w:val="00E21DCE"/>
    <w:rsid w:val="00E26B41"/>
    <w:rsid w:val="00E26D08"/>
    <w:rsid w:val="00E33F1A"/>
    <w:rsid w:val="00E35CFE"/>
    <w:rsid w:val="00E3774B"/>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0D25"/>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2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24</Pages>
  <Words>9574</Words>
  <Characters>54575</Characters>
  <Application>Microsoft Office Word</Application>
  <DocSecurity>0</DocSecurity>
  <Lines>454</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118</cp:revision>
  <cp:lastPrinted>2020-11-26T11:55:00Z</cp:lastPrinted>
  <dcterms:created xsi:type="dcterms:W3CDTF">2020-11-24T06:32:00Z</dcterms:created>
  <dcterms:modified xsi:type="dcterms:W3CDTF">2023-06-07T14:27:00Z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