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0C4D1F92"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0</w:t>
      </w:r>
      <w:r w:rsidR="002743DB">
        <w:rPr>
          <w:sz w:val="28"/>
          <w:szCs w:val="28"/>
          <w:lang w:val="ru-RU"/>
        </w:rPr>
        <w:t>8</w:t>
      </w:r>
      <w:r w:rsidR="001B63B3" w:rsidRPr="00523EC3">
        <w:rPr>
          <w:sz w:val="28"/>
          <w:szCs w:val="28"/>
        </w:rPr>
        <w:t>.</w:t>
      </w:r>
      <w:r w:rsidR="00881442" w:rsidRPr="00523EC3">
        <w:rPr>
          <w:sz w:val="28"/>
          <w:szCs w:val="28"/>
        </w:rPr>
        <w:t>0</w:t>
      </w:r>
      <w:r w:rsidR="002743DB">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98FB0EB" w14:textId="2DC5E846" w:rsidR="00D85868" w:rsidRPr="00523EC3" w:rsidRDefault="002743DB" w:rsidP="00D85868">
      <w:pPr>
        <w:contextualSpacing/>
        <w:jc w:val="center"/>
        <w:rPr>
          <w:b/>
          <w:color w:val="000000"/>
          <w:sz w:val="28"/>
          <w:szCs w:val="28"/>
        </w:rPr>
      </w:pPr>
      <w:r>
        <w:rPr>
          <w:b/>
          <w:color w:val="000000"/>
          <w:sz w:val="28"/>
          <w:szCs w:val="28"/>
        </w:rPr>
        <w:t xml:space="preserve">Ефір діетиловий (ефір для наркозу) </w:t>
      </w:r>
      <w:r>
        <w:rPr>
          <w:b/>
          <w:color w:val="000000"/>
          <w:sz w:val="28"/>
          <w:szCs w:val="28"/>
          <w:lang w:val="en-US"/>
        </w:rPr>
        <w:t>C</w:t>
      </w:r>
      <w:r>
        <w:rPr>
          <w:b/>
          <w:color w:val="000000"/>
          <w:sz w:val="28"/>
          <w:szCs w:val="28"/>
        </w:rPr>
        <w:t>4</w:t>
      </w:r>
      <w:r>
        <w:rPr>
          <w:b/>
          <w:color w:val="000000"/>
          <w:sz w:val="28"/>
          <w:szCs w:val="28"/>
          <w:lang w:val="en-US"/>
        </w:rPr>
        <w:t>H</w:t>
      </w:r>
      <w:r>
        <w:rPr>
          <w:b/>
          <w:color w:val="000000"/>
          <w:sz w:val="28"/>
          <w:szCs w:val="28"/>
        </w:rPr>
        <w:t>10</w:t>
      </w:r>
      <w:r>
        <w:rPr>
          <w:b/>
          <w:color w:val="000000"/>
          <w:sz w:val="28"/>
          <w:szCs w:val="28"/>
          <w:lang w:val="en-US"/>
        </w:rPr>
        <w:t>O</w:t>
      </w:r>
      <w:r>
        <w:rPr>
          <w:b/>
          <w:color w:val="000000"/>
          <w:sz w:val="28"/>
          <w:szCs w:val="28"/>
        </w:rPr>
        <w:t xml:space="preserve"> – 1л</w:t>
      </w:r>
      <w:r w:rsidR="00B60532" w:rsidRPr="00523EC3">
        <w:rPr>
          <w:b/>
          <w:bCs/>
          <w:color w:val="000000" w:themeColor="text1"/>
          <w:sz w:val="28"/>
          <w:szCs w:val="28"/>
        </w:rPr>
        <w:t>.</w:t>
      </w:r>
    </w:p>
    <w:p w14:paraId="6882E14A" w14:textId="77777777" w:rsidR="00D85868" w:rsidRPr="00523EC3" w:rsidRDefault="00D85868" w:rsidP="00D85868">
      <w:pPr>
        <w:contextualSpacing/>
        <w:jc w:val="center"/>
        <w:rPr>
          <w:b/>
          <w:sz w:val="28"/>
          <w:szCs w:val="28"/>
          <w:u w:val="single"/>
        </w:rPr>
      </w:pPr>
    </w:p>
    <w:p w14:paraId="0009BD63" w14:textId="61215753" w:rsidR="003F7273" w:rsidRPr="00523EC3" w:rsidRDefault="00D85868" w:rsidP="00D85868">
      <w:pPr>
        <w:jc w:val="center"/>
        <w:rPr>
          <w:i/>
          <w:sz w:val="28"/>
          <w:szCs w:val="28"/>
        </w:rPr>
      </w:pPr>
      <w:r w:rsidRPr="00523EC3">
        <w:rPr>
          <w:bCs/>
          <w:i/>
          <w:iCs/>
          <w:color w:val="000000"/>
          <w:sz w:val="28"/>
          <w:szCs w:val="28"/>
        </w:rPr>
        <w:t>(показник національного класифікатора України ДК 021:2015 “Єдиний закупівельний словник” – ДК 021:2015</w:t>
      </w:r>
      <w:r w:rsidRPr="00523EC3">
        <w:rPr>
          <w:i/>
          <w:color w:val="000000"/>
          <w:sz w:val="28"/>
          <w:szCs w:val="28"/>
        </w:rPr>
        <w:t xml:space="preserve">: </w:t>
      </w:r>
      <w:r w:rsidR="00A82264" w:rsidRPr="00A82264">
        <w:rPr>
          <w:b/>
          <w:bCs/>
          <w:color w:val="000000" w:themeColor="text1"/>
          <w:sz w:val="28"/>
          <w:szCs w:val="28"/>
        </w:rPr>
        <w:t>24320000-3: Основні органічні хімічні речовини</w:t>
      </w:r>
      <w:r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6E4871E"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C6BB1">
      <w:pPr>
        <w:pStyle w:val="Code"/>
        <w:contextualSpacing/>
        <w:jc w:val="center"/>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тел.:(0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978D55B" w14:textId="0074D26D" w:rsidR="00B60532" w:rsidRPr="00523EC3" w:rsidRDefault="002743DB" w:rsidP="00B60532">
            <w:pPr>
              <w:contextualSpacing/>
              <w:jc w:val="both"/>
              <w:rPr>
                <w:rFonts w:ascii="Times New Roman" w:hAnsi="Times New Roman" w:cs="Times New Roman"/>
                <w:b/>
                <w:sz w:val="24"/>
                <w:szCs w:val="24"/>
              </w:rPr>
            </w:pPr>
            <w:r w:rsidRPr="002743DB">
              <w:rPr>
                <w:rFonts w:ascii="Times New Roman" w:hAnsi="Times New Roman" w:cs="Times New Roman"/>
                <w:b/>
                <w:sz w:val="24"/>
                <w:szCs w:val="24"/>
              </w:rPr>
              <w:t>Ефір діетиловий (ефір для наркозу) C4H10O – 1л</w:t>
            </w:r>
            <w:r w:rsidR="00B60532" w:rsidRPr="00523EC3">
              <w:rPr>
                <w:rFonts w:ascii="Times New Roman" w:hAnsi="Times New Roman" w:cs="Times New Roman"/>
                <w:b/>
                <w:bCs/>
                <w:color w:val="000000" w:themeColor="text1"/>
                <w:sz w:val="24"/>
                <w:szCs w:val="24"/>
              </w:rPr>
              <w:t>.</w:t>
            </w:r>
          </w:p>
          <w:p w14:paraId="7B9DB3C9" w14:textId="42CC0D3A" w:rsidR="008571E4" w:rsidRPr="00523EC3" w:rsidRDefault="00B60532" w:rsidP="00B60532">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523EC3">
              <w:rPr>
                <w:rFonts w:ascii="Times New Roman" w:hAnsi="Times New Roman" w:cs="Times New Roman"/>
                <w:i/>
                <w:sz w:val="24"/>
                <w:szCs w:val="24"/>
              </w:rPr>
              <w:t xml:space="preserve">: </w:t>
            </w:r>
            <w:r w:rsidR="00A82264" w:rsidRPr="00A82264">
              <w:rPr>
                <w:rFonts w:ascii="Times New Roman" w:hAnsi="Times New Roman" w:cs="Times New Roman"/>
                <w:b/>
                <w:bCs/>
                <w:color w:val="000000" w:themeColor="text1"/>
                <w:sz w:val="24"/>
                <w:szCs w:val="24"/>
              </w:rPr>
              <w:t>24320000-3: Основні органічні хімічні речовини</w:t>
            </w:r>
            <w:r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3900B1B4"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523EC3" w:rsidRPr="00523EC3">
              <w:rPr>
                <w:rFonts w:ascii="Times New Roman" w:hAnsi="Times New Roman" w:cs="Times New Roman"/>
                <w:color w:val="auto"/>
                <w:sz w:val="24"/>
                <w:szCs w:val="24"/>
              </w:rPr>
              <w:t>1</w:t>
            </w:r>
            <w:r w:rsidR="00C62CB6" w:rsidRPr="00523EC3">
              <w:rPr>
                <w:rFonts w:ascii="Times New Roman" w:hAnsi="Times New Roman" w:cs="Times New Roman"/>
                <w:color w:val="auto"/>
                <w:sz w:val="24"/>
                <w:szCs w:val="24"/>
              </w:rPr>
              <w:t xml:space="preserve"> найменування</w:t>
            </w:r>
            <w:r w:rsidRPr="00523EC3">
              <w:rPr>
                <w:rFonts w:ascii="Times New Roman" w:hAnsi="Times New Roman" w:cs="Times New Roman"/>
                <w:color w:val="auto"/>
                <w:sz w:val="24"/>
                <w:szCs w:val="24"/>
              </w:rPr>
              <w:t xml:space="preserve"> (загальна кількість одиниць - </w:t>
            </w:r>
            <w:r w:rsidR="002743DB">
              <w:rPr>
                <w:rFonts w:ascii="Times New Roman" w:hAnsi="Times New Roman" w:cs="Times New Roman"/>
                <w:color w:val="auto"/>
                <w:sz w:val="24"/>
                <w:szCs w:val="24"/>
                <w:lang w:val="ru-RU"/>
              </w:rPr>
              <w:t>15</w:t>
            </w:r>
            <w:r w:rsidR="00523EC3" w:rsidRPr="00523EC3">
              <w:rPr>
                <w:rFonts w:ascii="Times New Roman" w:hAnsi="Times New Roman" w:cs="Times New Roman"/>
                <w:color w:val="auto"/>
                <w:sz w:val="24"/>
                <w:szCs w:val="24"/>
              </w:rPr>
              <w:t>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69FF793E" w:rsidR="00CF44C6" w:rsidRPr="00523EC3" w:rsidRDefault="002743DB"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b/>
                <w:bCs/>
                <w:sz w:val="24"/>
                <w:szCs w:val="24"/>
                <w:u w:val="single"/>
                <w:lang w:val="ru-RU" w:eastAsia="uk-UA"/>
              </w:rPr>
              <w:t>До 5 днів</w:t>
            </w:r>
            <w:r w:rsidR="006C4EB9" w:rsidRPr="006C4EB9">
              <w:rPr>
                <w:rFonts w:ascii="Times New Roman" w:hAnsi="Times New Roman" w:cs="Times New Roman"/>
                <w:b/>
                <w:bCs/>
                <w:sz w:val="24"/>
                <w:szCs w:val="24"/>
                <w:u w:val="single"/>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668D24A2" w:rsidR="000A2CCF" w:rsidRPr="00523EC3" w:rsidRDefault="002743DB" w:rsidP="008400E8">
            <w:pPr>
              <w:widowControl w:val="0"/>
              <w:spacing w:line="240" w:lineRule="auto"/>
              <w:contextualSpacing/>
              <w:jc w:val="both"/>
              <w:rPr>
                <w:rFonts w:ascii="Times New Roman" w:hAnsi="Times New Roman" w:cs="Times New Roman"/>
                <w:color w:val="auto"/>
                <w:sz w:val="24"/>
                <w:szCs w:val="24"/>
              </w:rPr>
            </w:pPr>
            <w:r w:rsidRPr="002743DB">
              <w:rPr>
                <w:rFonts w:ascii="Times New Roman" w:hAnsi="Times New Roman" w:cs="Times New Roman"/>
                <w:b/>
                <w:color w:val="auto"/>
                <w:sz w:val="24"/>
                <w:szCs w:val="24"/>
                <w:lang w:eastAsia="uk-UA"/>
              </w:rPr>
              <w:t>97</w:t>
            </w:r>
            <w:r w:rsidR="00523EC3" w:rsidRPr="00523EC3">
              <w:rPr>
                <w:rFonts w:ascii="Times New Roman" w:hAnsi="Times New Roman" w:cs="Times New Roman"/>
                <w:b/>
                <w:color w:val="auto"/>
                <w:sz w:val="24"/>
                <w:szCs w:val="24"/>
                <w:lang w:eastAsia="uk-UA"/>
              </w:rPr>
              <w:t xml:space="preserve"> </w:t>
            </w:r>
            <w:r w:rsidRPr="002743DB">
              <w:rPr>
                <w:rFonts w:ascii="Times New Roman" w:hAnsi="Times New Roman" w:cs="Times New Roman"/>
                <w:b/>
                <w:color w:val="auto"/>
                <w:sz w:val="24"/>
                <w:szCs w:val="24"/>
                <w:lang w:eastAsia="uk-UA"/>
              </w:rPr>
              <w:t>5</w:t>
            </w:r>
            <w:r w:rsidR="00523EC3" w:rsidRPr="00523EC3">
              <w:rPr>
                <w:rFonts w:ascii="Times New Roman" w:hAnsi="Times New Roman" w:cs="Times New Roman"/>
                <w:b/>
                <w:color w:val="auto"/>
                <w:sz w:val="24"/>
                <w:szCs w:val="24"/>
                <w:lang w:eastAsia="uk-UA"/>
              </w:rPr>
              <w:t>00</w:t>
            </w:r>
            <w:r w:rsidR="00444EC6" w:rsidRPr="00523EC3">
              <w:rPr>
                <w:rFonts w:ascii="Times New Roman" w:hAnsi="Times New Roman" w:cs="Times New Roman"/>
                <w:b/>
                <w:color w:val="auto"/>
                <w:sz w:val="24"/>
                <w:szCs w:val="24"/>
                <w:lang w:eastAsia="uk-UA"/>
              </w:rPr>
              <w:t>,00 (</w:t>
            </w:r>
            <w:r w:rsidRPr="002743DB">
              <w:rPr>
                <w:rFonts w:ascii="Times New Roman" w:hAnsi="Times New Roman" w:cs="Times New Roman"/>
                <w:b/>
                <w:color w:val="auto"/>
                <w:sz w:val="24"/>
                <w:szCs w:val="24"/>
                <w:lang w:eastAsia="uk-UA"/>
              </w:rPr>
              <w:t xml:space="preserve">дев’яносто сім тисяч п’ятсот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 xml:space="preserve">Процедура надання </w:t>
            </w:r>
            <w:r w:rsidRPr="00523EC3">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Фізична/юридична особа має право не пізніше </w:t>
            </w:r>
            <w:r w:rsidRPr="00523EC3">
              <w:rPr>
                <w:rFonts w:ascii="Times New Roman" w:hAnsi="Times New Roman" w:cs="Times New Roman"/>
                <w:b/>
                <w:bCs/>
                <w:color w:val="auto"/>
                <w:sz w:val="24"/>
                <w:szCs w:val="24"/>
              </w:rPr>
              <w:t xml:space="preserve">ніж за три дні до </w:t>
            </w:r>
            <w:r w:rsidRPr="00523EC3">
              <w:rPr>
                <w:rFonts w:ascii="Times New Roman" w:hAnsi="Times New Roman" w:cs="Times New Roman"/>
                <w:b/>
                <w:bCs/>
                <w:color w:val="auto"/>
                <w:sz w:val="24"/>
                <w:szCs w:val="24"/>
              </w:rPr>
              <w:lastRenderedPageBreak/>
              <w:t>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t xml:space="preserve">шляхом самостійного декларування </w:t>
            </w:r>
            <w:r w:rsidR="007F0AF3" w:rsidRPr="00523EC3">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w:t>
            </w:r>
            <w:r w:rsidRPr="00523EC3">
              <w:rPr>
                <w:rFonts w:ascii="Times New Roman" w:hAnsi="Times New Roman" w:cs="Times New Roman"/>
                <w:color w:val="auto"/>
                <w:sz w:val="24"/>
                <w:szCs w:val="24"/>
                <w:lang w:val="uk-UA"/>
              </w:rPr>
              <w:lastRenderedPageBreak/>
              <w:t xml:space="preserve">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523EC3">
              <w:rPr>
                <w:rFonts w:ascii="Times New Roman" w:hAnsi="Times New Roman" w:cs="Times New Roman"/>
                <w:color w:val="auto"/>
                <w:sz w:val="24"/>
                <w:szCs w:val="24"/>
              </w:rPr>
              <w:lastRenderedPageBreak/>
              <w:t>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 xml:space="preserve">Під час перевірки КЕП/УЕП повинні відображатися: прізвище </w:t>
            </w:r>
            <w:r w:rsidRPr="00523EC3">
              <w:rPr>
                <w:rFonts w:ascii="Times New Roman" w:hAnsi="Times New Roman" w:cs="Times New Roman"/>
                <w:color w:val="auto"/>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523EC3">
              <w:rPr>
                <w:rFonts w:ascii="Times New Roman" w:hAnsi="Times New Roman" w:cs="Times New Roman"/>
                <w:color w:val="auto"/>
                <w:sz w:val="24"/>
                <w:szCs w:val="24"/>
              </w:rPr>
              <w:t xml:space="preserve">pdf.», «.jpeg.», «.doc.»,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w:t>
            </w:r>
            <w:r w:rsidRPr="00523EC3">
              <w:rPr>
                <w:rFonts w:ascii="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523EC3">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523EC3">
              <w:rPr>
                <w:rFonts w:ascii="Times New Roman" w:hAnsi="Times New Roman" w:cs="Times New Roman"/>
                <w:color w:val="auto"/>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523EC3">
              <w:rPr>
                <w:rFonts w:ascii="Times New Roman" w:hAnsi="Times New Roman" w:cs="Times New Roman"/>
                <w:color w:val="auto"/>
                <w:sz w:val="24"/>
                <w:szCs w:val="24"/>
                <w:lang w:eastAsia="uk-UA"/>
              </w:rPr>
              <w:lastRenderedPageBreak/>
              <w:t>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5EDFBAEE"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6C4EB9">
              <w:rPr>
                <w:rFonts w:ascii="Times New Roman" w:hAnsi="Times New Roman" w:cs="Times New Roman"/>
                <w:b/>
                <w:bCs/>
                <w:i/>
                <w:iCs/>
                <w:color w:val="auto"/>
                <w:sz w:val="24"/>
                <w:szCs w:val="24"/>
                <w:lang w:val="ru-RU"/>
              </w:rPr>
              <w:t>1</w:t>
            </w:r>
            <w:r w:rsidR="002743DB">
              <w:rPr>
                <w:rFonts w:ascii="Times New Roman" w:hAnsi="Times New Roman" w:cs="Times New Roman"/>
                <w:b/>
                <w:bCs/>
                <w:i/>
                <w:iCs/>
                <w:color w:val="auto"/>
                <w:sz w:val="24"/>
                <w:szCs w:val="24"/>
                <w:lang w:val="ru-RU"/>
              </w:rPr>
              <w:t>6</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2743DB">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 xml:space="preserve">Оцінка тендерної пропозиції проводиться електронною </w:t>
            </w:r>
            <w:r w:rsidRPr="00523EC3">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523EC3">
              <w:rPr>
                <w:rFonts w:ascii="Times New Roman" w:hAnsi="Times New Roman" w:cs="Times New Roman"/>
                <w:color w:val="auto"/>
                <w:sz w:val="24"/>
                <w:szCs w:val="24"/>
              </w:rPr>
              <w:lastRenderedPageBreak/>
              <w:t xml:space="preserve">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Вартість тендерної пропозиції та всі інші ціни повинні бути </w:t>
            </w:r>
            <w:r w:rsidRPr="00523EC3">
              <w:rPr>
                <w:rFonts w:ascii="Times New Roman" w:hAnsi="Times New Roman" w:cs="Times New Roman"/>
                <w:color w:val="auto"/>
                <w:sz w:val="24"/>
                <w:szCs w:val="24"/>
              </w:rPr>
              <w:lastRenderedPageBreak/>
              <w:t>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 усіх інших випадках, факт подання тендерної пропозиції учасником – юридичною особою, що є розпорядником </w:t>
            </w:r>
            <w:r w:rsidRPr="00523EC3">
              <w:rPr>
                <w:rFonts w:ascii="Times New Roman" w:hAnsi="Times New Roman" w:cs="Times New Roman"/>
                <w:color w:val="auto"/>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523EC3">
              <w:rPr>
                <w:rFonts w:ascii="Times New Roman" w:hAnsi="Times New Roman" w:cs="Times New Roman"/>
                <w:color w:val="auto"/>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республіка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523EC3">
              <w:rPr>
                <w:rFonts w:ascii="Times New Roman" w:hAnsi="Times New Roman" w:cs="Times New Roman"/>
                <w:color w:val="auto"/>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523EC3">
              <w:rPr>
                <w:rFonts w:ascii="Times New Roman" w:hAnsi="Times New Roman" w:cs="Times New Roman"/>
                <w:color w:val="auto"/>
                <w:sz w:val="24"/>
                <w:szCs w:val="24"/>
                <w:lang w:eastAsia="uk-UA"/>
              </w:rPr>
              <w:lastRenderedPageBreak/>
              <w:t>в електронній системі закупівель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A7B5" w14:textId="77777777" w:rsidR="0002008B" w:rsidRDefault="0002008B">
      <w:r>
        <w:separator/>
      </w:r>
    </w:p>
  </w:endnote>
  <w:endnote w:type="continuationSeparator" w:id="0">
    <w:p w14:paraId="6B1F5222" w14:textId="77777777" w:rsidR="0002008B" w:rsidRDefault="0002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16752" w14:textId="77777777" w:rsidR="0002008B" w:rsidRDefault="0002008B">
      <w:r>
        <w:separator/>
      </w:r>
    </w:p>
  </w:footnote>
  <w:footnote w:type="continuationSeparator" w:id="0">
    <w:p w14:paraId="550C8C3F" w14:textId="77777777" w:rsidR="0002008B" w:rsidRDefault="0002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2008B"/>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3DB"/>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264"/>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81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10766</Words>
  <Characters>61371</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5</cp:revision>
  <dcterms:created xsi:type="dcterms:W3CDTF">2024-02-23T08:11:00Z</dcterms:created>
  <dcterms:modified xsi:type="dcterms:W3CDTF">2024-04-08T06:34:00Z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