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421696C"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01548A" w:rsidRPr="0001548A">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 вересня 2020 р. № 822</w:t>
      </w:r>
      <w:r w:rsidR="0001548A">
        <w:rPr>
          <w:rFonts w:ascii="Times New Roman" w:eastAsia="Times New Roman" w:hAnsi="Times New Roman" w:cs="Times New Roman"/>
          <w:sz w:val="24"/>
          <w:szCs w:val="24"/>
          <w:lang w:val="uk-UA" w:eastAsia="ru-RU"/>
        </w:rPr>
        <w:t>,</w:t>
      </w:r>
      <w:r w:rsidR="00585A61" w:rsidRPr="00585A61">
        <w:rPr>
          <w:rFonts w:ascii="Times New Roman" w:eastAsia="Times New Roman" w:hAnsi="Times New Roman" w:cs="Times New Roman"/>
          <w:sz w:val="24"/>
          <w:szCs w:val="24"/>
          <w:lang w:val="uk-UA" w:eastAsia="ru-RU"/>
        </w:rPr>
        <w:t xml:space="preserve">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278D6D85"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8F2DD3" w:rsidRPr="008F2DD3">
        <w:rPr>
          <w:rFonts w:ascii="Times New Roman" w:eastAsia="Times New Roman" w:hAnsi="Times New Roman" w:cs="Times New Roman"/>
          <w:b/>
          <w:sz w:val="24"/>
          <w:szCs w:val="24"/>
          <w:lang w:val="uk-UA" w:eastAsia="ru-RU"/>
        </w:rPr>
        <w:t xml:space="preserve">Фільтр дихальний </w:t>
      </w:r>
      <w:proofErr w:type="spellStart"/>
      <w:r w:rsidR="008F2DD3" w:rsidRPr="008F2DD3">
        <w:rPr>
          <w:rFonts w:ascii="Times New Roman" w:eastAsia="Times New Roman" w:hAnsi="Times New Roman" w:cs="Times New Roman"/>
          <w:b/>
          <w:sz w:val="24"/>
          <w:szCs w:val="24"/>
          <w:lang w:val="uk-UA" w:eastAsia="ru-RU"/>
        </w:rPr>
        <w:t>вірусо</w:t>
      </w:r>
      <w:proofErr w:type="spellEnd"/>
      <w:r w:rsidR="008F2DD3" w:rsidRPr="008F2DD3">
        <w:rPr>
          <w:rFonts w:ascii="Times New Roman" w:eastAsia="Times New Roman" w:hAnsi="Times New Roman" w:cs="Times New Roman"/>
          <w:b/>
          <w:sz w:val="24"/>
          <w:szCs w:val="24"/>
          <w:lang w:val="uk-UA" w:eastAsia="ru-RU"/>
        </w:rPr>
        <w:t xml:space="preserve">-бактеріальний </w:t>
      </w:r>
      <w:proofErr w:type="spellStart"/>
      <w:r w:rsidR="008F2DD3" w:rsidRPr="008F2DD3">
        <w:rPr>
          <w:rFonts w:ascii="Times New Roman" w:eastAsia="Times New Roman" w:hAnsi="Times New Roman" w:cs="Times New Roman"/>
          <w:b/>
          <w:sz w:val="24"/>
          <w:szCs w:val="24"/>
          <w:lang w:val="uk-UA" w:eastAsia="ru-RU"/>
        </w:rPr>
        <w:t>Clear-guard</w:t>
      </w:r>
      <w:proofErr w:type="spellEnd"/>
      <w:r w:rsidR="008F2DD3" w:rsidRPr="008F2DD3">
        <w:rPr>
          <w:rFonts w:ascii="Times New Roman" w:eastAsia="Times New Roman" w:hAnsi="Times New Roman" w:cs="Times New Roman"/>
          <w:b/>
          <w:sz w:val="24"/>
          <w:szCs w:val="24"/>
          <w:lang w:val="uk-UA" w:eastAsia="ru-RU"/>
        </w:rPr>
        <w:t xml:space="preserve"> </w:t>
      </w:r>
      <w:proofErr w:type="spellStart"/>
      <w:r w:rsidR="008F2DD3" w:rsidRPr="008F2DD3">
        <w:rPr>
          <w:rFonts w:ascii="Times New Roman" w:eastAsia="Times New Roman" w:hAnsi="Times New Roman" w:cs="Times New Roman"/>
          <w:b/>
          <w:sz w:val="24"/>
          <w:szCs w:val="24"/>
          <w:lang w:val="uk-UA" w:eastAsia="ru-RU"/>
        </w:rPr>
        <w:t>Midi</w:t>
      </w:r>
      <w:proofErr w:type="spellEnd"/>
      <w:r w:rsidR="008F2DD3" w:rsidRPr="008F2DD3">
        <w:rPr>
          <w:rFonts w:ascii="Times New Roman" w:eastAsia="Times New Roman" w:hAnsi="Times New Roman" w:cs="Times New Roman"/>
          <w:b/>
          <w:sz w:val="24"/>
          <w:szCs w:val="24"/>
          <w:lang w:val="uk-UA" w:eastAsia="ru-RU"/>
        </w:rPr>
        <w:t xml:space="preserve"> </w:t>
      </w:r>
      <w:proofErr w:type="spellStart"/>
      <w:r w:rsidR="008F2DD3" w:rsidRPr="008F2DD3">
        <w:rPr>
          <w:rFonts w:ascii="Times New Roman" w:eastAsia="Times New Roman" w:hAnsi="Times New Roman" w:cs="Times New Roman"/>
          <w:b/>
          <w:sz w:val="24"/>
          <w:szCs w:val="24"/>
          <w:lang w:val="uk-UA" w:eastAsia="ru-RU"/>
        </w:rPr>
        <w:t>Low</w:t>
      </w:r>
      <w:proofErr w:type="spellEnd"/>
      <w:r w:rsidR="008F2DD3" w:rsidRPr="008F2DD3">
        <w:rPr>
          <w:rFonts w:ascii="Times New Roman" w:eastAsia="Times New Roman" w:hAnsi="Times New Roman" w:cs="Times New Roman"/>
          <w:b/>
          <w:sz w:val="24"/>
          <w:szCs w:val="24"/>
          <w:lang w:val="uk-UA" w:eastAsia="ru-RU"/>
        </w:rPr>
        <w:t xml:space="preserve">, порт </w:t>
      </w:r>
      <w:proofErr w:type="spellStart"/>
      <w:r w:rsidR="008F2DD3" w:rsidRPr="008F2DD3">
        <w:rPr>
          <w:rFonts w:ascii="Times New Roman" w:eastAsia="Times New Roman" w:hAnsi="Times New Roman" w:cs="Times New Roman"/>
          <w:b/>
          <w:sz w:val="24"/>
          <w:szCs w:val="24"/>
          <w:lang w:val="uk-UA" w:eastAsia="ru-RU"/>
        </w:rPr>
        <w:t>Luer</w:t>
      </w:r>
      <w:proofErr w:type="spellEnd"/>
      <w:r w:rsidR="008F2DD3" w:rsidRPr="008F2DD3">
        <w:rPr>
          <w:rFonts w:ascii="Times New Roman" w:eastAsia="Times New Roman" w:hAnsi="Times New Roman" w:cs="Times New Roman"/>
          <w:b/>
          <w:sz w:val="24"/>
          <w:szCs w:val="24"/>
          <w:lang w:val="uk-UA" w:eastAsia="ru-RU"/>
        </w:rPr>
        <w:t xml:space="preserve"> </w:t>
      </w:r>
      <w:proofErr w:type="spellStart"/>
      <w:r w:rsidR="008F2DD3" w:rsidRPr="008F2DD3">
        <w:rPr>
          <w:rFonts w:ascii="Times New Roman" w:eastAsia="Times New Roman" w:hAnsi="Times New Roman" w:cs="Times New Roman"/>
          <w:b/>
          <w:sz w:val="24"/>
          <w:szCs w:val="24"/>
          <w:lang w:val="uk-UA" w:eastAsia="ru-RU"/>
        </w:rPr>
        <w:t>Lock</w:t>
      </w:r>
      <w:proofErr w:type="spellEnd"/>
      <w:r w:rsidR="008F2DD3" w:rsidRPr="008F2DD3">
        <w:rPr>
          <w:rFonts w:ascii="Times New Roman" w:eastAsia="Times New Roman" w:hAnsi="Times New Roman" w:cs="Times New Roman"/>
          <w:b/>
          <w:sz w:val="24"/>
          <w:szCs w:val="24"/>
          <w:lang w:val="uk-UA" w:eastAsia="ru-RU"/>
        </w:rPr>
        <w:t xml:space="preserve">, Фільтр дихальний </w:t>
      </w:r>
      <w:proofErr w:type="spellStart"/>
      <w:r w:rsidR="008F2DD3" w:rsidRPr="008F2DD3">
        <w:rPr>
          <w:rFonts w:ascii="Times New Roman" w:eastAsia="Times New Roman" w:hAnsi="Times New Roman" w:cs="Times New Roman"/>
          <w:b/>
          <w:sz w:val="24"/>
          <w:szCs w:val="24"/>
          <w:lang w:val="uk-UA" w:eastAsia="ru-RU"/>
        </w:rPr>
        <w:t>вірусо</w:t>
      </w:r>
      <w:proofErr w:type="spellEnd"/>
      <w:r w:rsidR="008F2DD3" w:rsidRPr="008F2DD3">
        <w:rPr>
          <w:rFonts w:ascii="Times New Roman" w:eastAsia="Times New Roman" w:hAnsi="Times New Roman" w:cs="Times New Roman"/>
          <w:b/>
          <w:sz w:val="24"/>
          <w:szCs w:val="24"/>
          <w:lang w:val="uk-UA" w:eastAsia="ru-RU"/>
        </w:rPr>
        <w:t xml:space="preserve">-бактеріальний </w:t>
      </w:r>
      <w:proofErr w:type="spellStart"/>
      <w:r w:rsidR="008F2DD3" w:rsidRPr="008F2DD3">
        <w:rPr>
          <w:rFonts w:ascii="Times New Roman" w:eastAsia="Times New Roman" w:hAnsi="Times New Roman" w:cs="Times New Roman"/>
          <w:b/>
          <w:sz w:val="24"/>
          <w:szCs w:val="24"/>
          <w:lang w:val="uk-UA" w:eastAsia="ru-RU"/>
        </w:rPr>
        <w:t>тепловологообмінний</w:t>
      </w:r>
      <w:proofErr w:type="spellEnd"/>
      <w:r w:rsidR="008F2DD3" w:rsidRPr="008F2DD3">
        <w:rPr>
          <w:rFonts w:ascii="Times New Roman" w:eastAsia="Times New Roman" w:hAnsi="Times New Roman" w:cs="Times New Roman"/>
          <w:b/>
          <w:sz w:val="24"/>
          <w:szCs w:val="24"/>
          <w:lang w:val="uk-UA" w:eastAsia="ru-RU"/>
        </w:rPr>
        <w:t xml:space="preserve"> </w:t>
      </w:r>
      <w:proofErr w:type="spellStart"/>
      <w:r w:rsidR="008F2DD3" w:rsidRPr="008F2DD3">
        <w:rPr>
          <w:rFonts w:ascii="Times New Roman" w:eastAsia="Times New Roman" w:hAnsi="Times New Roman" w:cs="Times New Roman"/>
          <w:b/>
          <w:sz w:val="24"/>
          <w:szCs w:val="24"/>
          <w:lang w:val="uk-UA" w:eastAsia="ru-RU"/>
        </w:rPr>
        <w:t>Clear-Therm</w:t>
      </w:r>
      <w:proofErr w:type="spellEnd"/>
      <w:r w:rsidR="008F2DD3" w:rsidRPr="008F2DD3">
        <w:rPr>
          <w:rFonts w:ascii="Times New Roman" w:eastAsia="Times New Roman" w:hAnsi="Times New Roman" w:cs="Times New Roman"/>
          <w:b/>
          <w:sz w:val="24"/>
          <w:szCs w:val="24"/>
          <w:lang w:val="uk-UA" w:eastAsia="ru-RU"/>
        </w:rPr>
        <w:t xml:space="preserve"> </w:t>
      </w:r>
      <w:proofErr w:type="spellStart"/>
      <w:r w:rsidR="008F2DD3" w:rsidRPr="008F2DD3">
        <w:rPr>
          <w:rFonts w:ascii="Times New Roman" w:eastAsia="Times New Roman" w:hAnsi="Times New Roman" w:cs="Times New Roman"/>
          <w:b/>
          <w:sz w:val="24"/>
          <w:szCs w:val="24"/>
          <w:lang w:val="uk-UA" w:eastAsia="ru-RU"/>
        </w:rPr>
        <w:t>Micro</w:t>
      </w:r>
      <w:proofErr w:type="spellEnd"/>
      <w:r w:rsidR="008F2DD3" w:rsidRPr="008F2DD3">
        <w:rPr>
          <w:rFonts w:ascii="Times New Roman" w:eastAsia="Times New Roman" w:hAnsi="Times New Roman" w:cs="Times New Roman"/>
          <w:b/>
          <w:sz w:val="24"/>
          <w:szCs w:val="24"/>
          <w:lang w:val="uk-UA" w:eastAsia="ru-RU"/>
        </w:rPr>
        <w:t xml:space="preserve">, </w:t>
      </w:r>
      <w:proofErr w:type="spellStart"/>
      <w:r w:rsidR="008F2DD3" w:rsidRPr="008F2DD3">
        <w:rPr>
          <w:rFonts w:ascii="Times New Roman" w:eastAsia="Times New Roman" w:hAnsi="Times New Roman" w:cs="Times New Roman"/>
          <w:b/>
          <w:sz w:val="24"/>
          <w:szCs w:val="24"/>
          <w:lang w:val="uk-UA" w:eastAsia="ru-RU"/>
        </w:rPr>
        <w:t>неонатальний</w:t>
      </w:r>
      <w:proofErr w:type="spellEnd"/>
      <w:r w:rsidR="008F2DD3" w:rsidRPr="008F2DD3">
        <w:rPr>
          <w:rFonts w:ascii="Times New Roman" w:eastAsia="Times New Roman" w:hAnsi="Times New Roman" w:cs="Times New Roman"/>
          <w:b/>
          <w:sz w:val="24"/>
          <w:szCs w:val="24"/>
          <w:lang w:val="uk-UA" w:eastAsia="ru-RU"/>
        </w:rPr>
        <w:t xml:space="preserve"> (ДК 021:2015 33170000-2 Обладнання для анестезії та реанімації (НК 024:2023 60837 - Фільтр бактеріальний для медичних газів, нестерильний, одноразового використання, 46816 - Нестерильний тепло / </w:t>
      </w:r>
      <w:proofErr w:type="spellStart"/>
      <w:r w:rsidR="008F2DD3" w:rsidRPr="008F2DD3">
        <w:rPr>
          <w:rFonts w:ascii="Times New Roman" w:eastAsia="Times New Roman" w:hAnsi="Times New Roman" w:cs="Times New Roman"/>
          <w:b/>
          <w:sz w:val="24"/>
          <w:szCs w:val="24"/>
          <w:lang w:val="uk-UA" w:eastAsia="ru-RU"/>
        </w:rPr>
        <w:t>вологообмінний</w:t>
      </w:r>
      <w:proofErr w:type="spellEnd"/>
      <w:r w:rsidR="008F2DD3" w:rsidRPr="008F2DD3">
        <w:rPr>
          <w:rFonts w:ascii="Times New Roman" w:eastAsia="Times New Roman" w:hAnsi="Times New Roman" w:cs="Times New Roman"/>
          <w:b/>
          <w:sz w:val="24"/>
          <w:szCs w:val="24"/>
          <w:lang w:val="uk-UA" w:eastAsia="ru-RU"/>
        </w:rPr>
        <w:t xml:space="preserve"> / бактерійний фільтр))</w:t>
      </w:r>
      <w:r w:rsidR="008F2DD3">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w:t>
      </w:r>
      <w:r w:rsidR="003729F0" w:rsidRPr="003729F0">
        <w:rPr>
          <w:rFonts w:ascii="Times New Roman" w:eastAsia="Times New Roman" w:hAnsi="Times New Roman" w:cs="Times New Roman"/>
          <w:sz w:val="24"/>
          <w:szCs w:val="24"/>
          <w:lang w:val="uk-UA" w:eastAsia="ru-RU"/>
        </w:rPr>
        <w:lastRenderedPageBreak/>
        <w:t>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перевірку комплектності, цілісності та 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8F2DD3"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bookmarkStart w:id="0" w:name="_GoBack" w:colFirst="1" w:colLast="1"/>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05E02C0D" w:rsidR="005B2133" w:rsidRPr="0065226B" w:rsidRDefault="008F2DD3" w:rsidP="008F2DD3">
            <w:pPr>
              <w:spacing w:after="0" w:line="240" w:lineRule="auto"/>
              <w:jc w:val="both"/>
              <w:rPr>
                <w:rFonts w:ascii="Times New Roman" w:hAnsi="Times New Roman" w:cs="Times New Roman"/>
                <w:color w:val="000000"/>
                <w:lang w:val="uk-UA"/>
              </w:rPr>
            </w:pPr>
            <w:r w:rsidRPr="008F2DD3">
              <w:rPr>
                <w:rFonts w:ascii="Times New Roman" w:hAnsi="Times New Roman" w:cs="Times New Roman"/>
                <w:color w:val="000000"/>
                <w:lang w:val="uk-UA"/>
              </w:rPr>
              <w:t xml:space="preserve">Фільтр дихальний </w:t>
            </w:r>
            <w:proofErr w:type="spellStart"/>
            <w:r w:rsidRPr="008F2DD3">
              <w:rPr>
                <w:rFonts w:ascii="Times New Roman" w:hAnsi="Times New Roman" w:cs="Times New Roman"/>
                <w:color w:val="000000"/>
                <w:lang w:val="uk-UA"/>
              </w:rPr>
              <w:t>вірусо</w:t>
            </w:r>
            <w:proofErr w:type="spellEnd"/>
            <w:r w:rsidRPr="008F2DD3">
              <w:rPr>
                <w:rFonts w:ascii="Times New Roman" w:hAnsi="Times New Roman" w:cs="Times New Roman"/>
                <w:color w:val="000000"/>
                <w:lang w:val="uk-UA"/>
              </w:rPr>
              <w:t xml:space="preserve">-бактеріальний </w:t>
            </w:r>
            <w:proofErr w:type="spellStart"/>
            <w:r w:rsidRPr="008F2DD3">
              <w:rPr>
                <w:rFonts w:ascii="Times New Roman" w:hAnsi="Times New Roman" w:cs="Times New Roman"/>
                <w:color w:val="000000"/>
                <w:lang w:val="uk-UA"/>
              </w:rPr>
              <w:t>Clear-guard</w:t>
            </w:r>
            <w:proofErr w:type="spellEnd"/>
            <w:r w:rsidRPr="008F2DD3">
              <w:rPr>
                <w:rFonts w:ascii="Times New Roman" w:hAnsi="Times New Roman" w:cs="Times New Roman"/>
                <w:color w:val="000000"/>
                <w:lang w:val="uk-UA"/>
              </w:rPr>
              <w:t xml:space="preserve"> </w:t>
            </w:r>
            <w:proofErr w:type="spellStart"/>
            <w:r w:rsidRPr="008F2DD3">
              <w:rPr>
                <w:rFonts w:ascii="Times New Roman" w:hAnsi="Times New Roman" w:cs="Times New Roman"/>
                <w:color w:val="000000"/>
                <w:lang w:val="uk-UA"/>
              </w:rPr>
              <w:t>Midi</w:t>
            </w:r>
            <w:proofErr w:type="spellEnd"/>
            <w:r w:rsidRPr="008F2DD3">
              <w:rPr>
                <w:rFonts w:ascii="Times New Roman" w:hAnsi="Times New Roman" w:cs="Times New Roman"/>
                <w:color w:val="000000"/>
                <w:lang w:val="uk-UA"/>
              </w:rPr>
              <w:t xml:space="preserve"> </w:t>
            </w:r>
            <w:proofErr w:type="spellStart"/>
            <w:r w:rsidRPr="008F2DD3">
              <w:rPr>
                <w:rFonts w:ascii="Times New Roman" w:hAnsi="Times New Roman" w:cs="Times New Roman"/>
                <w:color w:val="000000"/>
                <w:lang w:val="uk-UA"/>
              </w:rPr>
              <w:t>Low</w:t>
            </w:r>
            <w:proofErr w:type="spellEnd"/>
            <w:r w:rsidRPr="008F2DD3">
              <w:rPr>
                <w:rFonts w:ascii="Times New Roman" w:hAnsi="Times New Roman" w:cs="Times New Roman"/>
                <w:color w:val="000000"/>
                <w:lang w:val="uk-UA"/>
              </w:rPr>
              <w:t xml:space="preserve">, порт </w:t>
            </w:r>
            <w:proofErr w:type="spellStart"/>
            <w:r w:rsidRPr="008F2DD3">
              <w:rPr>
                <w:rFonts w:ascii="Times New Roman" w:hAnsi="Times New Roman" w:cs="Times New Roman"/>
                <w:color w:val="000000"/>
                <w:lang w:val="uk-UA"/>
              </w:rPr>
              <w:t>Luer</w:t>
            </w:r>
            <w:proofErr w:type="spellEnd"/>
            <w:r w:rsidRPr="008F2DD3">
              <w:rPr>
                <w:rFonts w:ascii="Times New Roman" w:hAnsi="Times New Roman" w:cs="Times New Roman"/>
                <w:color w:val="000000"/>
                <w:lang w:val="uk-UA"/>
              </w:rPr>
              <w:t xml:space="preserve"> </w:t>
            </w:r>
            <w:proofErr w:type="spellStart"/>
            <w:r w:rsidRPr="008F2DD3">
              <w:rPr>
                <w:rFonts w:ascii="Times New Roman" w:hAnsi="Times New Roman" w:cs="Times New Roman"/>
                <w:color w:val="000000"/>
                <w:lang w:val="uk-UA"/>
              </w:rPr>
              <w:t>Lock</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0406AE31" w:rsidR="005B2133" w:rsidRPr="0065226B" w:rsidRDefault="008F2DD3" w:rsidP="005B2133">
            <w:pPr>
              <w:spacing w:after="0" w:line="240" w:lineRule="auto"/>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0F553B83" w:rsidR="005B2133" w:rsidRPr="009C6253" w:rsidRDefault="008F2DD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8F2DD3"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4C47B08F" w:rsidR="005B2133" w:rsidRPr="0065226B" w:rsidRDefault="008F2DD3" w:rsidP="008F2DD3">
            <w:pPr>
              <w:spacing w:after="0" w:line="240" w:lineRule="auto"/>
              <w:jc w:val="both"/>
              <w:rPr>
                <w:rFonts w:ascii="Times New Roman" w:hAnsi="Times New Roman" w:cs="Times New Roman"/>
                <w:bCs/>
                <w:lang w:val="uk-UA"/>
              </w:rPr>
            </w:pPr>
            <w:r w:rsidRPr="008F2DD3">
              <w:rPr>
                <w:rFonts w:ascii="Times New Roman" w:hAnsi="Times New Roman" w:cs="Times New Roman"/>
                <w:bCs/>
                <w:lang w:val="uk-UA"/>
              </w:rPr>
              <w:t xml:space="preserve">Фільтр дихальний </w:t>
            </w:r>
            <w:proofErr w:type="spellStart"/>
            <w:r w:rsidRPr="008F2DD3">
              <w:rPr>
                <w:rFonts w:ascii="Times New Roman" w:hAnsi="Times New Roman" w:cs="Times New Roman"/>
                <w:bCs/>
                <w:lang w:val="uk-UA"/>
              </w:rPr>
              <w:t>вірусо</w:t>
            </w:r>
            <w:proofErr w:type="spellEnd"/>
            <w:r w:rsidRPr="008F2DD3">
              <w:rPr>
                <w:rFonts w:ascii="Times New Roman" w:hAnsi="Times New Roman" w:cs="Times New Roman"/>
                <w:bCs/>
                <w:lang w:val="uk-UA"/>
              </w:rPr>
              <w:t xml:space="preserve">-бактеріальний </w:t>
            </w:r>
            <w:proofErr w:type="spellStart"/>
            <w:r w:rsidRPr="008F2DD3">
              <w:rPr>
                <w:rFonts w:ascii="Times New Roman" w:hAnsi="Times New Roman" w:cs="Times New Roman"/>
                <w:bCs/>
                <w:lang w:val="uk-UA"/>
              </w:rPr>
              <w:t>тепловологообмінний</w:t>
            </w:r>
            <w:proofErr w:type="spellEnd"/>
            <w:r w:rsidRPr="008F2DD3">
              <w:rPr>
                <w:rFonts w:ascii="Times New Roman" w:hAnsi="Times New Roman" w:cs="Times New Roman"/>
                <w:bCs/>
                <w:lang w:val="uk-UA"/>
              </w:rPr>
              <w:t xml:space="preserve"> </w:t>
            </w:r>
            <w:proofErr w:type="spellStart"/>
            <w:r w:rsidRPr="008F2DD3">
              <w:rPr>
                <w:rFonts w:ascii="Times New Roman" w:hAnsi="Times New Roman" w:cs="Times New Roman"/>
                <w:bCs/>
                <w:lang w:val="uk-UA"/>
              </w:rPr>
              <w:t>Clear-Therm</w:t>
            </w:r>
            <w:proofErr w:type="spellEnd"/>
            <w:r w:rsidRPr="008F2DD3">
              <w:rPr>
                <w:rFonts w:ascii="Times New Roman" w:hAnsi="Times New Roman" w:cs="Times New Roman"/>
                <w:bCs/>
                <w:lang w:val="uk-UA"/>
              </w:rPr>
              <w:t xml:space="preserve"> </w:t>
            </w:r>
            <w:proofErr w:type="spellStart"/>
            <w:r w:rsidRPr="008F2DD3">
              <w:rPr>
                <w:rFonts w:ascii="Times New Roman" w:hAnsi="Times New Roman" w:cs="Times New Roman"/>
                <w:bCs/>
                <w:lang w:val="uk-UA"/>
              </w:rPr>
              <w:t>Micro</w:t>
            </w:r>
            <w:proofErr w:type="spellEnd"/>
            <w:r w:rsidRPr="008F2DD3">
              <w:rPr>
                <w:rFonts w:ascii="Times New Roman" w:hAnsi="Times New Roman" w:cs="Times New Roman"/>
                <w:bCs/>
                <w:lang w:val="uk-UA"/>
              </w:rPr>
              <w:t xml:space="preserve">, </w:t>
            </w:r>
            <w:proofErr w:type="spellStart"/>
            <w:r w:rsidRPr="008F2DD3">
              <w:rPr>
                <w:rFonts w:ascii="Times New Roman" w:hAnsi="Times New Roman" w:cs="Times New Roman"/>
                <w:bCs/>
                <w:lang w:val="uk-UA"/>
              </w:rPr>
              <w:t>неонатальний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54D420D" w:rsidR="005B2133" w:rsidRPr="0065226B" w:rsidRDefault="008F2DD3" w:rsidP="005B2133">
            <w:pPr>
              <w:spacing w:after="0" w:line="240" w:lineRule="auto"/>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2FEBE057" w:rsidR="005B2133" w:rsidRPr="009C6253" w:rsidRDefault="008F2DD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bookmarkEnd w:id="0"/>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1326A"/>
    <w:rsid w:val="00121C05"/>
    <w:rsid w:val="00152508"/>
    <w:rsid w:val="00152813"/>
    <w:rsid w:val="001567A8"/>
    <w:rsid w:val="001658FC"/>
    <w:rsid w:val="0019603B"/>
    <w:rsid w:val="001D6F31"/>
    <w:rsid w:val="001E04F7"/>
    <w:rsid w:val="00201EDA"/>
    <w:rsid w:val="0028450A"/>
    <w:rsid w:val="002E331C"/>
    <w:rsid w:val="003120EF"/>
    <w:rsid w:val="00364C74"/>
    <w:rsid w:val="00370D0C"/>
    <w:rsid w:val="003729F0"/>
    <w:rsid w:val="00381511"/>
    <w:rsid w:val="003843CD"/>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364BA"/>
    <w:rsid w:val="00666EEF"/>
    <w:rsid w:val="00670361"/>
    <w:rsid w:val="00670A15"/>
    <w:rsid w:val="00694918"/>
    <w:rsid w:val="00720F59"/>
    <w:rsid w:val="00722504"/>
    <w:rsid w:val="007403A9"/>
    <w:rsid w:val="00761520"/>
    <w:rsid w:val="007744BF"/>
    <w:rsid w:val="00780591"/>
    <w:rsid w:val="007977DE"/>
    <w:rsid w:val="007C724E"/>
    <w:rsid w:val="007F5F54"/>
    <w:rsid w:val="00822296"/>
    <w:rsid w:val="00826B95"/>
    <w:rsid w:val="008663E1"/>
    <w:rsid w:val="00876154"/>
    <w:rsid w:val="008907A8"/>
    <w:rsid w:val="008F2DD3"/>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51F18"/>
    <w:rsid w:val="00B93EBF"/>
    <w:rsid w:val="00B94B35"/>
    <w:rsid w:val="00BA51AF"/>
    <w:rsid w:val="00C00F7B"/>
    <w:rsid w:val="00C4443F"/>
    <w:rsid w:val="00C571D7"/>
    <w:rsid w:val="00C74C24"/>
    <w:rsid w:val="00C878F2"/>
    <w:rsid w:val="00CA40A2"/>
    <w:rsid w:val="00CA481B"/>
    <w:rsid w:val="00D0646A"/>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2024-04-16T07:57:00Z</cp:lastPrinted>
  <dcterms:created xsi:type="dcterms:W3CDTF">2024-03-19T07:47:00Z</dcterms:created>
  <dcterms:modified xsi:type="dcterms:W3CDTF">2024-04-16T07:58:00Z</dcterms:modified>
</cp:coreProperties>
</file>