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Договір (проєкт) про постачання продукції № ____</w:t>
      </w:r>
    </w:p>
    <w:p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rsidR="007A47F2" w:rsidRPr="006767C7" w:rsidRDefault="007A47F2" w:rsidP="005E6E06">
      <w:pPr>
        <w:tabs>
          <w:tab w:val="left" w:pos="2490"/>
        </w:tabs>
        <w:spacing w:after="0" w:line="240" w:lineRule="auto"/>
        <w:rPr>
          <w:rFonts w:ascii="Times New Roman" w:hAnsi="Times New Roman" w:cs="Times New Roman"/>
        </w:rPr>
      </w:pPr>
    </w:p>
    <w:p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rsidR="005E6E06" w:rsidRPr="006767C7" w:rsidRDefault="005E6E06" w:rsidP="005E6E06">
      <w:pPr>
        <w:spacing w:after="0" w:line="240" w:lineRule="auto"/>
        <w:rPr>
          <w:rFonts w:ascii="Times New Roman" w:hAnsi="Times New Roman" w:cs="Times New Roman"/>
          <w:b/>
        </w:rPr>
      </w:pPr>
    </w:p>
    <w:p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D01072">
        <w:rPr>
          <w:rFonts w:ascii="Times New Roman" w:hAnsi="Times New Roman" w:cs="Times New Roman"/>
          <w:color w:val="000000"/>
          <w:spacing w:val="-1"/>
        </w:rPr>
        <w:t>________</w:t>
      </w:r>
      <w:r w:rsidR="00B808BF" w:rsidRPr="006767C7">
        <w:rPr>
          <w:rFonts w:ascii="Times New Roman" w:hAnsi="Times New Roman" w:cs="Times New Roman"/>
          <w:color w:val="000000"/>
          <w:spacing w:val="-1"/>
        </w:rPr>
        <w:t>___________________________</w:t>
      </w:r>
      <w:r w:rsidRPr="006767C7">
        <w:rPr>
          <w:rFonts w:ascii="Times New Roman" w:hAnsi="Times New Roman" w:cs="Times New Roman"/>
          <w:color w:val="000000"/>
          <w:spacing w:val="-1"/>
        </w:rPr>
        <w:t xml:space="preserve">,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rsidR="005E6E06" w:rsidRPr="006767C7" w:rsidRDefault="005E6E06" w:rsidP="005A7E39">
      <w:pPr>
        <w:spacing w:after="0" w:line="240" w:lineRule="auto"/>
        <w:ind w:left="-426"/>
        <w:rPr>
          <w:rFonts w:ascii="Times New Roman" w:hAnsi="Times New Roman" w:cs="Times New Roman"/>
        </w:rPr>
      </w:pPr>
    </w:p>
    <w:p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bookmarkStart w:id="0" w:name="_Hlk136430528"/>
      <w:r w:rsidR="00170ECD">
        <w:rPr>
          <w:rFonts w:ascii="Times New Roman" w:eastAsia="Times New Roman" w:hAnsi="Times New Roman" w:cs="Times New Roman"/>
          <w:sz w:val="22"/>
          <w:szCs w:val="22"/>
        </w:rPr>
        <w:t xml:space="preserve"> </w:t>
      </w:r>
      <w:r w:rsidR="00AB2BF0">
        <w:rPr>
          <w:rFonts w:ascii="Times New Roman" w:hAnsi="Times New Roman" w:cs="Times New Roman"/>
          <w:bCs/>
          <w:sz w:val="22"/>
          <w:szCs w:val="22"/>
        </w:rPr>
        <w:t>Свіжі яблука</w:t>
      </w:r>
      <w:r w:rsidR="00E65899">
        <w:rPr>
          <w:rFonts w:ascii="Times New Roman" w:hAnsi="Times New Roman" w:cs="Times New Roman"/>
          <w:bCs/>
          <w:sz w:val="22"/>
          <w:szCs w:val="22"/>
        </w:rPr>
        <w:t xml:space="preserve"> кисло</w:t>
      </w:r>
      <w:r w:rsidR="00CC5D9A">
        <w:rPr>
          <w:rFonts w:ascii="Times New Roman" w:hAnsi="Times New Roman" w:cs="Times New Roman"/>
          <w:bCs/>
          <w:sz w:val="22"/>
          <w:szCs w:val="22"/>
        </w:rPr>
        <w:t>-</w:t>
      </w:r>
      <w:r w:rsidR="00E65899">
        <w:rPr>
          <w:rFonts w:ascii="Times New Roman" w:hAnsi="Times New Roman" w:cs="Times New Roman"/>
          <w:bCs/>
          <w:sz w:val="22"/>
          <w:szCs w:val="22"/>
        </w:rPr>
        <w:t>солодкі</w:t>
      </w:r>
      <w:r w:rsidR="00AB2BF0">
        <w:rPr>
          <w:rFonts w:ascii="Times New Roman" w:hAnsi="Times New Roman" w:cs="Times New Roman"/>
          <w:bCs/>
          <w:sz w:val="22"/>
          <w:szCs w:val="22"/>
        </w:rPr>
        <w:t xml:space="preserve"> та банани</w:t>
      </w:r>
      <w:r w:rsidR="00B83CAE" w:rsidRPr="00B83CAE">
        <w:rPr>
          <w:rFonts w:ascii="Times New Roman" w:hAnsi="Times New Roman" w:cs="Times New Roman"/>
          <w:bCs/>
          <w:sz w:val="22"/>
          <w:szCs w:val="22"/>
        </w:rPr>
        <w:t xml:space="preserve"> (Код ДК 021:2015: </w:t>
      </w:r>
      <w:r w:rsidR="000B7744" w:rsidRPr="000B7744">
        <w:rPr>
          <w:rFonts w:ascii="Times New Roman" w:hAnsi="Times New Roman" w:cs="Times New Roman"/>
          <w:bCs/>
          <w:sz w:val="22"/>
          <w:szCs w:val="22"/>
        </w:rPr>
        <w:t>03220000-9 — Овочі, фрукти та горіхи</w:t>
      </w:r>
      <w:r w:rsidR="00B83CAE" w:rsidRPr="00B83CAE">
        <w:rPr>
          <w:rFonts w:ascii="Times New Roman" w:hAnsi="Times New Roman" w:cs="Times New Roman"/>
          <w:bCs/>
          <w:sz w:val="22"/>
          <w:szCs w:val="22"/>
        </w:rPr>
        <w:t>)</w:t>
      </w:r>
      <w:r w:rsidR="00C57BB4" w:rsidRPr="00170ECD">
        <w:rPr>
          <w:rFonts w:ascii="Times New Roman" w:hAnsi="Times New Roman" w:cs="Times New Roman"/>
          <w:bCs/>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w:t>
      </w:r>
      <w:r w:rsidR="00191D2C">
        <w:rPr>
          <w:rFonts w:ascii="Times New Roman" w:hAnsi="Times New Roman" w:cs="Times New Roman"/>
        </w:rPr>
        <w:t>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вар на якісний протягом 8-годин</w:t>
      </w:r>
      <w:r w:rsidRPr="006767C7">
        <w:rPr>
          <w:rFonts w:ascii="Times New Roman" w:hAnsi="Times New Roman" w:cs="Times New Roman"/>
        </w:rPr>
        <w:t xml:space="preserve"> з моменту отримання повідомлення від Замовника.</w:t>
      </w:r>
    </w:p>
    <w:p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 xml:space="preserve">у: </w:t>
      </w:r>
      <w:r w:rsidR="001059C6" w:rsidRPr="00054587">
        <w:rPr>
          <w:rFonts w:ascii="Times New Roman" w:eastAsia="Times New Roman" w:hAnsi="Times New Roman" w:cs="Times New Roman"/>
          <w:lang w:val="en-US"/>
        </w:rPr>
        <w:t xml:space="preserve">м. Стрий, вул. </w:t>
      </w:r>
      <w:r w:rsidR="00B9687C">
        <w:rPr>
          <w:rFonts w:ascii="Times New Roman" w:eastAsia="Times New Roman" w:hAnsi="Times New Roman" w:cs="Times New Roman"/>
        </w:rPr>
        <w:t>Дрогобицька, 50</w:t>
      </w:r>
      <w:r w:rsidR="001059C6" w:rsidRPr="00054587">
        <w:rPr>
          <w:rFonts w:ascii="Times New Roman" w:eastAsia="Times New Roman" w:hAnsi="Times New Roman" w:cs="Times New Roman"/>
        </w:rPr>
        <w:t>.</w:t>
      </w:r>
    </w:p>
    <w:p w:rsidR="009E107F" w:rsidRDefault="009E107F"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rsidR="00FB3146" w:rsidRPr="00FB3146" w:rsidRDefault="00FB3146" w:rsidP="006A4BF8">
      <w:pPr>
        <w:spacing w:after="0" w:line="240" w:lineRule="auto"/>
        <w:ind w:firstLine="567"/>
        <w:jc w:val="both"/>
        <w:rPr>
          <w:rFonts w:ascii="Times New Roman" w:hAnsi="Times New Roman" w:cs="Times New Roman"/>
        </w:rPr>
      </w:pPr>
      <w:r w:rsidRPr="00FB3146">
        <w:rPr>
          <w:rFonts w:ascii="Times New Roman" w:hAnsi="Times New Roman" w:cs="Times New Roman"/>
        </w:rPr>
        <w:t xml:space="preserve">2.11. Термін придатності товару повинен складати на момент поставки не менше як  </w:t>
      </w:r>
      <w:r w:rsidR="001B28B9">
        <w:rPr>
          <w:rFonts w:ascii="Times New Roman" w:hAnsi="Times New Roman" w:cs="Times New Roman"/>
        </w:rPr>
        <w:t>8</w:t>
      </w:r>
      <w:r w:rsidRPr="00FB3146">
        <w:rPr>
          <w:rFonts w:ascii="Times New Roman" w:hAnsi="Times New Roman" w:cs="Times New Roman"/>
        </w:rPr>
        <w:t>0%  від встановлених термінів зберігання для кожного окремого найменування</w:t>
      </w:r>
    </w:p>
    <w:p w:rsidR="00FB3146" w:rsidRPr="006767C7" w:rsidRDefault="00FB3146" w:rsidP="005A7E39">
      <w:pPr>
        <w:suppressAutoHyphens/>
        <w:spacing w:after="0" w:line="240" w:lineRule="auto"/>
        <w:ind w:left="-426" w:firstLine="567"/>
        <w:jc w:val="both"/>
        <w:rPr>
          <w:rFonts w:ascii="Times New Roman" w:eastAsia="Times New Roman" w:hAnsi="Times New Roman" w:cs="Times New Roman"/>
          <w:lang w:eastAsia="ru-RU"/>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6767C7" w:rsidRDefault="000A55A5" w:rsidP="005A7E39">
      <w:pPr>
        <w:spacing w:after="0" w:line="240" w:lineRule="auto"/>
        <w:ind w:left="-426" w:firstLine="567"/>
        <w:jc w:val="both"/>
        <w:rPr>
          <w:rFonts w:ascii="Times New Roman" w:hAnsi="Times New Roman" w:cs="Times New Roman"/>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6767C7" w:rsidRDefault="004438D3" w:rsidP="005A7E39">
      <w:pPr>
        <w:spacing w:after="0" w:line="240" w:lineRule="auto"/>
        <w:ind w:left="-426"/>
        <w:jc w:val="center"/>
        <w:rPr>
          <w:rFonts w:ascii="Times New Roman" w:hAnsi="Times New Roman" w:cs="Times New Roman"/>
          <w:b/>
          <w:color w:val="000000"/>
          <w:spacing w:val="-7"/>
        </w:rPr>
      </w:pPr>
    </w:p>
    <w:p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5.4. Покупець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rsidR="000A55A5" w:rsidRPr="006767C7" w:rsidRDefault="000A55A5" w:rsidP="005A7E39">
      <w:pPr>
        <w:spacing w:line="240" w:lineRule="auto"/>
        <w:ind w:left="-426"/>
        <w:jc w:val="center"/>
        <w:rPr>
          <w:rFonts w:ascii="Times New Roman" w:hAnsi="Times New Roman"/>
          <w:b/>
        </w:rPr>
      </w:pPr>
    </w:p>
    <w:p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95303" w:rsidRPr="006767C7" w:rsidRDefault="00395303" w:rsidP="000328B9">
      <w:pPr>
        <w:spacing w:after="0" w:line="240" w:lineRule="auto"/>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Вирішення спорів</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w:t>
      </w:r>
      <w:r w:rsidRPr="006767C7">
        <w:rPr>
          <w:rFonts w:ascii="Times New Roman" w:hAnsi="Times New Roman" w:cs="Times New Roman"/>
        </w:rPr>
        <w:lastRenderedPageBreak/>
        <w:t>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6767C7" w:rsidRDefault="00586E7B" w:rsidP="005A7E39">
      <w:pPr>
        <w:spacing w:after="0" w:line="240" w:lineRule="auto"/>
        <w:ind w:left="-426"/>
        <w:jc w:val="center"/>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7C7" w:rsidRPr="006767C7" w:rsidRDefault="006767C7" w:rsidP="005A7E39">
      <w:pPr>
        <w:spacing w:after="0" w:line="240" w:lineRule="auto"/>
        <w:ind w:left="-426"/>
        <w:jc w:val="center"/>
        <w:rPr>
          <w:rFonts w:ascii="Times New Roman" w:hAnsi="Times New Roman" w:cs="Times New Roman"/>
          <w:b/>
        </w:rPr>
      </w:pPr>
    </w:p>
    <w:p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6767C7" w:rsidRDefault="002D6B20" w:rsidP="005A7E39">
      <w:pPr>
        <w:spacing w:after="0" w:line="240" w:lineRule="auto"/>
        <w:ind w:left="-426"/>
        <w:jc w:val="center"/>
        <w:rPr>
          <w:rFonts w:ascii="Times New Roman" w:eastAsia="Times New Roman" w:hAnsi="Times New Roman" w:cs="Times New Roman"/>
          <w:b/>
          <w:i/>
        </w:rPr>
      </w:pPr>
    </w:p>
    <w:p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6767C7">
        <w:rPr>
          <w:rFonts w:ascii="Times New Roman" w:eastAsia="Times New Roman" w:hAnsi="Times New Roman" w:cs="Times New Roman"/>
        </w:rPr>
        <w:lastRenderedPageBreak/>
        <w:t xml:space="preserve">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xml:space="preserve"> “Про реалізацію експериментального проекту щодо відновлення населених пунктів, які постраждали </w:t>
      </w:r>
      <w:r w:rsidRPr="006767C7">
        <w:rPr>
          <w:rFonts w:ascii="Times New Roman" w:eastAsia="Times New Roman" w:hAnsi="Times New Roman" w:cs="Times New Roman"/>
        </w:rPr>
        <w:lastRenderedPageBreak/>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6767C7" w:rsidRDefault="002D6B20" w:rsidP="005A7E39">
      <w:pPr>
        <w:spacing w:after="0" w:line="240" w:lineRule="auto"/>
        <w:ind w:left="-426"/>
        <w:jc w:val="center"/>
        <w:rPr>
          <w:rFonts w:ascii="Times New Roman" w:eastAsia="Times New Roman" w:hAnsi="Times New Roman" w:cs="Times New Roman"/>
          <w:b/>
        </w:rPr>
      </w:pPr>
    </w:p>
    <w:p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tblPr>
      <w:tblGrid>
        <w:gridCol w:w="4996"/>
        <w:gridCol w:w="4927"/>
      </w:tblGrid>
      <w:tr w:rsidR="00586F08" w:rsidRPr="00142A5F" w:rsidTr="00382631">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382631">
        <w:trPr>
          <w:cantSplit/>
          <w:trHeight w:val="1903"/>
          <w:tblHeader/>
        </w:trPr>
        <w:tc>
          <w:tcPr>
            <w:tcW w:w="4996" w:type="dxa"/>
            <w:tcMar>
              <w:top w:w="0" w:type="dxa"/>
              <w:left w:w="115" w:type="dxa"/>
              <w:bottom w:w="0" w:type="dxa"/>
              <w:right w:w="115" w:type="dxa"/>
            </w:tcMar>
          </w:tcPr>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382631">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E5A2C" w:rsidRDefault="00BE5A2C">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0C3634" w:rsidRDefault="000C3634">
      <w:pPr>
        <w:spacing w:after="0" w:line="276" w:lineRule="auto"/>
        <w:jc w:val="center"/>
        <w:rPr>
          <w:rFonts w:ascii="Times New Roman" w:eastAsia="Times New Roman" w:hAnsi="Times New Roman" w:cs="Times New Roman"/>
          <w:b/>
          <w:sz w:val="24"/>
          <w:szCs w:val="24"/>
        </w:rPr>
      </w:pPr>
    </w:p>
    <w:p w:rsidR="000C3634" w:rsidRDefault="000C3634">
      <w:pPr>
        <w:spacing w:after="0" w:line="276" w:lineRule="auto"/>
        <w:jc w:val="center"/>
        <w:rPr>
          <w:rFonts w:ascii="Times New Roman" w:eastAsia="Times New Roman" w:hAnsi="Times New Roman" w:cs="Times New Roman"/>
          <w:b/>
          <w:sz w:val="24"/>
          <w:szCs w:val="24"/>
        </w:rPr>
      </w:pPr>
    </w:p>
    <w:p w:rsidR="00395303" w:rsidRDefault="00395303">
      <w:pPr>
        <w:spacing w:after="0" w:line="276" w:lineRule="auto"/>
        <w:jc w:val="center"/>
        <w:rPr>
          <w:rFonts w:ascii="Times New Roman" w:eastAsia="Times New Roman" w:hAnsi="Times New Roman" w:cs="Times New Roman"/>
          <w:b/>
          <w:sz w:val="24"/>
          <w:szCs w:val="24"/>
        </w:rPr>
      </w:pPr>
    </w:p>
    <w:p w:rsidR="000C3634" w:rsidRDefault="000C3634">
      <w:pPr>
        <w:spacing w:after="0" w:line="276" w:lineRule="auto"/>
        <w:jc w:val="center"/>
        <w:rPr>
          <w:rFonts w:ascii="Times New Roman" w:eastAsia="Times New Roman" w:hAnsi="Times New Roman" w:cs="Times New Roman"/>
          <w:b/>
          <w:sz w:val="24"/>
          <w:szCs w:val="24"/>
        </w:rPr>
      </w:pPr>
    </w:p>
    <w:p w:rsidR="00191D2C" w:rsidRDefault="00191D2C">
      <w:pPr>
        <w:spacing w:after="0" w:line="276" w:lineRule="auto"/>
        <w:jc w:val="center"/>
        <w:rPr>
          <w:rFonts w:ascii="Times New Roman" w:eastAsia="Times New Roman" w:hAnsi="Times New Roman" w:cs="Times New Roman"/>
          <w:b/>
          <w:sz w:val="24"/>
          <w:szCs w:val="24"/>
        </w:rPr>
      </w:pPr>
    </w:p>
    <w:p w:rsidR="00191D2C" w:rsidRDefault="00191D2C">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6767C7" w:rsidRDefault="006767C7" w:rsidP="00774874">
      <w:pPr>
        <w:spacing w:after="0" w:line="240" w:lineRule="auto"/>
        <w:jc w:val="center"/>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2D6BBD" w:rsidRDefault="002D6BBD" w:rsidP="00774874">
      <w:pPr>
        <w:spacing w:after="0" w:line="240" w:lineRule="auto"/>
        <w:jc w:val="center"/>
        <w:rPr>
          <w:rFonts w:ascii="Times New Roman" w:hAnsi="Times New Roman" w:cs="Times New Roman"/>
          <w:b/>
          <w:sz w:val="24"/>
          <w:szCs w:val="24"/>
        </w:rPr>
      </w:pPr>
    </w:p>
    <w:p w:rsidR="009912C0" w:rsidRPr="009E63BD" w:rsidRDefault="00CC5D9A" w:rsidP="009912C0">
      <w:pPr>
        <w:spacing w:after="0" w:line="240" w:lineRule="auto"/>
        <w:jc w:val="center"/>
        <w:rPr>
          <w:rFonts w:ascii="Times New Roman" w:hAnsi="Times New Roman" w:cs="Times New Roman"/>
          <w:bCs/>
        </w:rPr>
      </w:pPr>
      <w:r>
        <w:rPr>
          <w:rFonts w:ascii="Times New Roman" w:hAnsi="Times New Roman" w:cs="Times New Roman"/>
          <w:bCs/>
        </w:rPr>
        <w:t>Свіжі яблука кисло-солодкі та банани</w:t>
      </w:r>
      <w:r w:rsidR="002B1643" w:rsidRPr="00B83CAE">
        <w:rPr>
          <w:rFonts w:ascii="Times New Roman" w:hAnsi="Times New Roman" w:cs="Times New Roman"/>
          <w:bCs/>
        </w:rPr>
        <w:t xml:space="preserve"> (Код ДК 021:2015: </w:t>
      </w:r>
      <w:r w:rsidR="002B1643" w:rsidRPr="000B7744">
        <w:rPr>
          <w:rFonts w:ascii="Times New Roman" w:hAnsi="Times New Roman" w:cs="Times New Roman"/>
          <w:bCs/>
        </w:rPr>
        <w:t>03220000-9 — Овочі, фрукти та горіхи</w:t>
      </w:r>
      <w:r w:rsidR="002B1643" w:rsidRPr="00B83CAE">
        <w:rPr>
          <w:rFonts w:ascii="Times New Roman" w:hAnsi="Times New Roman" w:cs="Times New Roman"/>
          <w:bCs/>
        </w:rPr>
        <w:t>)</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704"/>
      </w:tblGrid>
      <w:tr w:rsidR="009912C0" w:rsidRPr="002F1CD3" w:rsidTr="009912C0">
        <w:trPr>
          <w:trHeight w:val="725"/>
        </w:trPr>
        <w:tc>
          <w:tcPr>
            <w:tcW w:w="567" w:type="dxa"/>
            <w:tcBorders>
              <w:top w:val="single" w:sz="6"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з</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9912C0" w:rsidRPr="002F1CD3" w:rsidTr="009912C0">
        <w:trPr>
          <w:trHeight w:val="197"/>
        </w:trPr>
        <w:tc>
          <w:tcPr>
            <w:tcW w:w="567" w:type="dxa"/>
            <w:tcBorders>
              <w:top w:val="single" w:sz="6" w:space="0" w:color="auto"/>
              <w:bottom w:val="single" w:sz="6" w:space="0" w:color="auto"/>
              <w:right w:val="single" w:sz="4" w:space="0" w:color="auto"/>
            </w:tcBorders>
          </w:tcPr>
          <w:p w:rsidR="009912C0" w:rsidRPr="00FA2957" w:rsidRDefault="009912C0" w:rsidP="00BF50BD">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9912C0" w:rsidRPr="00FA2957" w:rsidRDefault="009912C0" w:rsidP="00BF50B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9912C0" w:rsidRPr="00BA46DF" w:rsidRDefault="009912C0" w:rsidP="00BF50B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rPr>
                <w:rFonts w:ascii="Times New Roman" w:hAnsi="Times New Roman" w:cs="Times New Roman"/>
                <w:sz w:val="20"/>
                <w:szCs w:val="20"/>
              </w:rPr>
            </w:pP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r w:rsidR="002B1643" w:rsidRPr="002F1CD3" w:rsidTr="009912C0">
        <w:trPr>
          <w:trHeight w:val="197"/>
        </w:trPr>
        <w:tc>
          <w:tcPr>
            <w:tcW w:w="567" w:type="dxa"/>
            <w:tcBorders>
              <w:top w:val="single" w:sz="6" w:space="0" w:color="auto"/>
              <w:bottom w:val="single" w:sz="6" w:space="0" w:color="auto"/>
              <w:right w:val="single" w:sz="4" w:space="0" w:color="auto"/>
            </w:tcBorders>
          </w:tcPr>
          <w:p w:rsidR="002B1643" w:rsidRPr="00FA2957" w:rsidRDefault="002B1643" w:rsidP="00BF50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2B1643" w:rsidRPr="00FA2957" w:rsidRDefault="002B1643" w:rsidP="00BF50B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2B1643" w:rsidRPr="00BA46DF" w:rsidRDefault="002B1643" w:rsidP="00BF50B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2B1643" w:rsidRPr="009922EE" w:rsidRDefault="002B1643" w:rsidP="00BF50B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2B1643" w:rsidRPr="009922EE" w:rsidRDefault="002B1643" w:rsidP="00BF50BD">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2B1643" w:rsidRPr="009922EE" w:rsidRDefault="002B1643" w:rsidP="00BF50BD">
            <w:pPr>
              <w:spacing w:after="0" w:line="240" w:lineRule="auto"/>
              <w:rPr>
                <w:rFonts w:ascii="Times New Roman" w:hAnsi="Times New Roman" w:cs="Times New Roman"/>
                <w:sz w:val="20"/>
                <w:szCs w:val="20"/>
              </w:rPr>
            </w:pPr>
          </w:p>
        </w:tc>
        <w:tc>
          <w:tcPr>
            <w:tcW w:w="1704" w:type="dxa"/>
            <w:tcBorders>
              <w:top w:val="single" w:sz="6" w:space="0" w:color="auto"/>
              <w:left w:val="single" w:sz="4" w:space="0" w:color="auto"/>
              <w:bottom w:val="single" w:sz="6" w:space="0" w:color="auto"/>
              <w:right w:val="single" w:sz="6" w:space="0" w:color="auto"/>
            </w:tcBorders>
          </w:tcPr>
          <w:p w:rsidR="002B1643" w:rsidRPr="009922EE" w:rsidRDefault="002B1643" w:rsidP="00BF50BD">
            <w:pPr>
              <w:spacing w:after="0" w:line="240" w:lineRule="auto"/>
              <w:rPr>
                <w:rFonts w:ascii="Times New Roman" w:hAnsi="Times New Roman" w:cs="Times New Roman"/>
                <w:sz w:val="20"/>
                <w:szCs w:val="20"/>
              </w:rPr>
            </w:pPr>
          </w:p>
        </w:tc>
      </w:tr>
      <w:tr w:rsidR="009912C0" w:rsidRPr="002F1CD3" w:rsidTr="009912C0">
        <w:trPr>
          <w:trHeight w:val="277"/>
        </w:trPr>
        <w:tc>
          <w:tcPr>
            <w:tcW w:w="8503" w:type="dxa"/>
            <w:gridSpan w:val="6"/>
            <w:tcBorders>
              <w:top w:val="single" w:sz="6" w:space="0" w:color="auto"/>
              <w:bottom w:val="single" w:sz="6" w:space="0" w:color="auto"/>
              <w:right w:val="single" w:sz="4" w:space="0" w:color="auto"/>
            </w:tcBorders>
          </w:tcPr>
          <w:p w:rsidR="009912C0" w:rsidRPr="009922EE" w:rsidRDefault="009912C0" w:rsidP="00BF50B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r w:rsidR="009912C0" w:rsidRPr="002F1CD3" w:rsidTr="009912C0">
        <w:trPr>
          <w:trHeight w:val="277"/>
        </w:trPr>
        <w:tc>
          <w:tcPr>
            <w:tcW w:w="8503" w:type="dxa"/>
            <w:gridSpan w:val="6"/>
            <w:tcBorders>
              <w:top w:val="single" w:sz="6" w:space="0" w:color="auto"/>
              <w:bottom w:val="single" w:sz="6" w:space="0" w:color="auto"/>
              <w:right w:val="single" w:sz="4" w:space="0" w:color="auto"/>
            </w:tcBorders>
          </w:tcPr>
          <w:p w:rsidR="009912C0" w:rsidRPr="009922EE" w:rsidRDefault="009912C0" w:rsidP="00BF50B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r w:rsidR="009912C0" w:rsidRPr="002F1CD3" w:rsidTr="009912C0">
        <w:trPr>
          <w:trHeight w:val="277"/>
        </w:trPr>
        <w:tc>
          <w:tcPr>
            <w:tcW w:w="8503" w:type="dxa"/>
            <w:gridSpan w:val="6"/>
            <w:tcBorders>
              <w:top w:val="single" w:sz="6" w:space="0" w:color="auto"/>
              <w:bottom w:val="single" w:sz="6" w:space="0" w:color="auto"/>
              <w:right w:val="single" w:sz="4" w:space="0" w:color="auto"/>
            </w:tcBorders>
          </w:tcPr>
          <w:p w:rsidR="009912C0" w:rsidRPr="009922EE" w:rsidRDefault="009912C0" w:rsidP="00BF50B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bl>
    <w:p w:rsidR="009912C0" w:rsidRDefault="009912C0" w:rsidP="009912C0">
      <w:pPr>
        <w:spacing w:after="0" w:line="240" w:lineRule="auto"/>
        <w:jc w:val="center"/>
        <w:rPr>
          <w:rFonts w:ascii="Times New Roman" w:hAnsi="Times New Roman" w:cs="Times New Roman"/>
          <w:bCs/>
        </w:rPr>
      </w:pPr>
    </w:p>
    <w:p w:rsidR="00E97E5F" w:rsidRDefault="00E97E5F" w:rsidP="009912C0">
      <w:pPr>
        <w:spacing w:after="0" w:line="240" w:lineRule="auto"/>
        <w:jc w:val="center"/>
        <w:rPr>
          <w:rFonts w:ascii="Times New Roman" w:hAnsi="Times New Roman" w:cs="Times New Roman"/>
          <w:bCs/>
        </w:rPr>
      </w:pPr>
    </w:p>
    <w:p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rsidR="000C19A7" w:rsidRDefault="000C19A7" w:rsidP="00710202">
            <w:pPr>
              <w:spacing w:after="0" w:line="240" w:lineRule="auto"/>
              <w:rPr>
                <w:rFonts w:ascii="Times New Roman" w:eastAsia="Times New Roman" w:hAnsi="Times New Roman" w:cs="Times New Roman"/>
                <w:sz w:val="20"/>
                <w:szCs w:val="20"/>
              </w:rPr>
            </w:pPr>
          </w:p>
          <w:p w:rsidR="008C75AA" w:rsidRDefault="008C75AA" w:rsidP="00710202">
            <w:pPr>
              <w:spacing w:after="0" w:line="240" w:lineRule="auto"/>
              <w:rPr>
                <w:rFonts w:ascii="Times New Roman" w:eastAsia="Times New Roman" w:hAnsi="Times New Roman" w:cs="Times New Roman"/>
                <w:sz w:val="20"/>
                <w:szCs w:val="20"/>
              </w:rPr>
            </w:pPr>
          </w:p>
          <w:p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rPr>
                <w:rFonts w:ascii="Times New Roman" w:eastAsia="Times New Roman" w:hAnsi="Times New Roman" w:cs="Times New Roman"/>
                <w:sz w:val="20"/>
                <w:szCs w:val="20"/>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B66" w:rsidRDefault="00755B66" w:rsidP="00A739EC">
      <w:pPr>
        <w:spacing w:after="0" w:line="240" w:lineRule="auto"/>
      </w:pPr>
      <w:r>
        <w:separator/>
      </w:r>
    </w:p>
  </w:endnote>
  <w:endnote w:type="continuationSeparator" w:id="1">
    <w:p w:rsidR="00755B66" w:rsidRDefault="00755B66"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B66" w:rsidRDefault="00755B66" w:rsidP="00A739EC">
      <w:pPr>
        <w:spacing w:after="0" w:line="240" w:lineRule="auto"/>
      </w:pPr>
      <w:r>
        <w:separator/>
      </w:r>
    </w:p>
  </w:footnote>
  <w:footnote w:type="continuationSeparator" w:id="1">
    <w:p w:rsidR="00755B66" w:rsidRDefault="00755B66"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40962"/>
  </w:hdrShapeDefaults>
  <w:footnotePr>
    <w:footnote w:id="0"/>
    <w:footnote w:id="1"/>
  </w:footnotePr>
  <w:endnotePr>
    <w:endnote w:id="0"/>
    <w:endnote w:id="1"/>
  </w:endnotePr>
  <w:compat/>
  <w:rsids>
    <w:rsidRoot w:val="002D6B20"/>
    <w:rsid w:val="00000535"/>
    <w:rsid w:val="000328B9"/>
    <w:rsid w:val="0004485F"/>
    <w:rsid w:val="00057878"/>
    <w:rsid w:val="0006003C"/>
    <w:rsid w:val="000633FB"/>
    <w:rsid w:val="00075984"/>
    <w:rsid w:val="0008414F"/>
    <w:rsid w:val="000A2343"/>
    <w:rsid w:val="000A55A5"/>
    <w:rsid w:val="000B7744"/>
    <w:rsid w:val="000C0459"/>
    <w:rsid w:val="000C19A7"/>
    <w:rsid w:val="000C30B8"/>
    <w:rsid w:val="000C3634"/>
    <w:rsid w:val="000D64DA"/>
    <w:rsid w:val="000F4C63"/>
    <w:rsid w:val="000F581E"/>
    <w:rsid w:val="001059C6"/>
    <w:rsid w:val="00142A5F"/>
    <w:rsid w:val="00144394"/>
    <w:rsid w:val="00156C7D"/>
    <w:rsid w:val="001621E7"/>
    <w:rsid w:val="00166EAD"/>
    <w:rsid w:val="00170ECD"/>
    <w:rsid w:val="00191D2C"/>
    <w:rsid w:val="00193739"/>
    <w:rsid w:val="00195D8D"/>
    <w:rsid w:val="001A7570"/>
    <w:rsid w:val="001B28B9"/>
    <w:rsid w:val="001D093F"/>
    <w:rsid w:val="001E5E4D"/>
    <w:rsid w:val="001F1EE3"/>
    <w:rsid w:val="002201ED"/>
    <w:rsid w:val="002350A9"/>
    <w:rsid w:val="002379C8"/>
    <w:rsid w:val="0024609D"/>
    <w:rsid w:val="0026566D"/>
    <w:rsid w:val="00277940"/>
    <w:rsid w:val="00287772"/>
    <w:rsid w:val="002A7F2D"/>
    <w:rsid w:val="002B1643"/>
    <w:rsid w:val="002D6B20"/>
    <w:rsid w:val="002D6BBD"/>
    <w:rsid w:val="002E25C5"/>
    <w:rsid w:val="002E3F2C"/>
    <w:rsid w:val="002F1CD3"/>
    <w:rsid w:val="002F6D93"/>
    <w:rsid w:val="00303AD0"/>
    <w:rsid w:val="00304B7D"/>
    <w:rsid w:val="0031367B"/>
    <w:rsid w:val="003168C1"/>
    <w:rsid w:val="003420F8"/>
    <w:rsid w:val="00382631"/>
    <w:rsid w:val="003846C7"/>
    <w:rsid w:val="00395303"/>
    <w:rsid w:val="003A3047"/>
    <w:rsid w:val="003A60A0"/>
    <w:rsid w:val="003C2A0C"/>
    <w:rsid w:val="003C79CE"/>
    <w:rsid w:val="003D4297"/>
    <w:rsid w:val="003F6D13"/>
    <w:rsid w:val="00412249"/>
    <w:rsid w:val="00423F99"/>
    <w:rsid w:val="004438D3"/>
    <w:rsid w:val="00462F5B"/>
    <w:rsid w:val="004930C7"/>
    <w:rsid w:val="00496AC7"/>
    <w:rsid w:val="004B5F82"/>
    <w:rsid w:val="004C363C"/>
    <w:rsid w:val="004C6C65"/>
    <w:rsid w:val="004C73A6"/>
    <w:rsid w:val="004D55CF"/>
    <w:rsid w:val="004F45AF"/>
    <w:rsid w:val="00507884"/>
    <w:rsid w:val="005362E1"/>
    <w:rsid w:val="005535BD"/>
    <w:rsid w:val="005611A7"/>
    <w:rsid w:val="00563634"/>
    <w:rsid w:val="00567337"/>
    <w:rsid w:val="00573047"/>
    <w:rsid w:val="00586E7B"/>
    <w:rsid w:val="00586F08"/>
    <w:rsid w:val="005A3734"/>
    <w:rsid w:val="005A7E39"/>
    <w:rsid w:val="005D5CC1"/>
    <w:rsid w:val="005E6E06"/>
    <w:rsid w:val="0062707A"/>
    <w:rsid w:val="00632982"/>
    <w:rsid w:val="006441D2"/>
    <w:rsid w:val="006767C7"/>
    <w:rsid w:val="0068465D"/>
    <w:rsid w:val="00697212"/>
    <w:rsid w:val="006A4BF8"/>
    <w:rsid w:val="006C07DF"/>
    <w:rsid w:val="006D033A"/>
    <w:rsid w:val="006D0FEE"/>
    <w:rsid w:val="006E0099"/>
    <w:rsid w:val="006E307A"/>
    <w:rsid w:val="006F53C7"/>
    <w:rsid w:val="00724FD2"/>
    <w:rsid w:val="0072623D"/>
    <w:rsid w:val="00734AFD"/>
    <w:rsid w:val="00755B66"/>
    <w:rsid w:val="0076165E"/>
    <w:rsid w:val="00774874"/>
    <w:rsid w:val="007772D1"/>
    <w:rsid w:val="00793575"/>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904840"/>
    <w:rsid w:val="00905FA4"/>
    <w:rsid w:val="0092587F"/>
    <w:rsid w:val="00930309"/>
    <w:rsid w:val="00951710"/>
    <w:rsid w:val="00964CCB"/>
    <w:rsid w:val="00971A1E"/>
    <w:rsid w:val="0097296B"/>
    <w:rsid w:val="009740BB"/>
    <w:rsid w:val="009912C0"/>
    <w:rsid w:val="009922EE"/>
    <w:rsid w:val="009950B4"/>
    <w:rsid w:val="009D0125"/>
    <w:rsid w:val="009D1606"/>
    <w:rsid w:val="009E107F"/>
    <w:rsid w:val="009E567E"/>
    <w:rsid w:val="009E63BD"/>
    <w:rsid w:val="00A479CF"/>
    <w:rsid w:val="00A739EC"/>
    <w:rsid w:val="00A816EC"/>
    <w:rsid w:val="00A86996"/>
    <w:rsid w:val="00A92B66"/>
    <w:rsid w:val="00AB2BF0"/>
    <w:rsid w:val="00AB5DCF"/>
    <w:rsid w:val="00AB5E66"/>
    <w:rsid w:val="00AC4086"/>
    <w:rsid w:val="00AC593A"/>
    <w:rsid w:val="00AD679A"/>
    <w:rsid w:val="00B05C63"/>
    <w:rsid w:val="00B1497B"/>
    <w:rsid w:val="00B17693"/>
    <w:rsid w:val="00B23A55"/>
    <w:rsid w:val="00B24C06"/>
    <w:rsid w:val="00B43026"/>
    <w:rsid w:val="00B635E7"/>
    <w:rsid w:val="00B73C57"/>
    <w:rsid w:val="00B74871"/>
    <w:rsid w:val="00B808BF"/>
    <w:rsid w:val="00B83CAE"/>
    <w:rsid w:val="00B9687C"/>
    <w:rsid w:val="00BA3266"/>
    <w:rsid w:val="00BA46DF"/>
    <w:rsid w:val="00BB47FC"/>
    <w:rsid w:val="00BB6E96"/>
    <w:rsid w:val="00BB7ACA"/>
    <w:rsid w:val="00BC2324"/>
    <w:rsid w:val="00BC6191"/>
    <w:rsid w:val="00BE361D"/>
    <w:rsid w:val="00BE5A2C"/>
    <w:rsid w:val="00BF3A19"/>
    <w:rsid w:val="00C05270"/>
    <w:rsid w:val="00C15692"/>
    <w:rsid w:val="00C261C3"/>
    <w:rsid w:val="00C33C7B"/>
    <w:rsid w:val="00C57BB4"/>
    <w:rsid w:val="00C93901"/>
    <w:rsid w:val="00CA16E3"/>
    <w:rsid w:val="00CC5D9A"/>
    <w:rsid w:val="00CD0651"/>
    <w:rsid w:val="00D01072"/>
    <w:rsid w:val="00D15FE1"/>
    <w:rsid w:val="00D62FAD"/>
    <w:rsid w:val="00D81E15"/>
    <w:rsid w:val="00D91421"/>
    <w:rsid w:val="00D974FC"/>
    <w:rsid w:val="00DA165F"/>
    <w:rsid w:val="00DB0105"/>
    <w:rsid w:val="00DB4B3D"/>
    <w:rsid w:val="00DC4DFC"/>
    <w:rsid w:val="00DD7CC0"/>
    <w:rsid w:val="00DE10CA"/>
    <w:rsid w:val="00DE19F3"/>
    <w:rsid w:val="00DE4777"/>
    <w:rsid w:val="00E02E98"/>
    <w:rsid w:val="00E21D2C"/>
    <w:rsid w:val="00E22782"/>
    <w:rsid w:val="00E2396B"/>
    <w:rsid w:val="00E30E9E"/>
    <w:rsid w:val="00E37E6A"/>
    <w:rsid w:val="00E53DB5"/>
    <w:rsid w:val="00E65899"/>
    <w:rsid w:val="00E76F76"/>
    <w:rsid w:val="00E82773"/>
    <w:rsid w:val="00E90276"/>
    <w:rsid w:val="00E97E5F"/>
    <w:rsid w:val="00E97F8B"/>
    <w:rsid w:val="00EA5612"/>
    <w:rsid w:val="00EA7F88"/>
    <w:rsid w:val="00EB08E0"/>
    <w:rsid w:val="00EB7C70"/>
    <w:rsid w:val="00EC0DCD"/>
    <w:rsid w:val="00EC301B"/>
    <w:rsid w:val="00EC5FCE"/>
    <w:rsid w:val="00ED56BD"/>
    <w:rsid w:val="00EE7030"/>
    <w:rsid w:val="00EE78EB"/>
    <w:rsid w:val="00EF331F"/>
    <w:rsid w:val="00EF351E"/>
    <w:rsid w:val="00F1461B"/>
    <w:rsid w:val="00F5041A"/>
    <w:rsid w:val="00F75C6D"/>
    <w:rsid w:val="00F81DD0"/>
    <w:rsid w:val="00FA2957"/>
    <w:rsid w:val="00FB3146"/>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20026</Words>
  <Characters>11415</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168</cp:revision>
  <dcterms:created xsi:type="dcterms:W3CDTF">2023-05-29T12:14:00Z</dcterms:created>
  <dcterms:modified xsi:type="dcterms:W3CDTF">2024-03-19T09:22:00Z</dcterms:modified>
</cp:coreProperties>
</file>