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8B7C" w14:textId="3359E70D" w:rsidR="008D1E28" w:rsidRDefault="008D1E28" w:rsidP="008D1E28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  <w:r w:rsidRPr="0027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 за </w:t>
      </w:r>
      <w:bookmarkStart w:id="0" w:name="_Hlk157593461"/>
      <w:r w:rsidR="00201F88" w:rsidRPr="0020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021:2015: 33690000-3 — Лікарські засоби різні</w:t>
      </w:r>
      <w:r w:rsidR="0020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01F88" w:rsidRPr="0020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Лабораторні реактиви</w:t>
      </w:r>
      <w:r w:rsidR="0020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8DB90F4" w14:textId="42B39E40" w:rsidR="00273CF5" w:rsidRPr="00273CF5" w:rsidRDefault="00273CF5" w:rsidP="00273CF5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73C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ДК 021:2015:33694000-1 — Діагностичні засоби</w:t>
      </w:r>
      <w:r w:rsidR="00201F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01F88" w:rsidRPr="00201F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(Лабораторні реактиви)</w:t>
      </w:r>
      <w:bookmarkEnd w:id="0"/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726"/>
        <w:gridCol w:w="4962"/>
        <w:gridCol w:w="1134"/>
        <w:gridCol w:w="1134"/>
        <w:gridCol w:w="1701"/>
      </w:tblGrid>
      <w:tr w:rsidR="008D1E28" w:rsidRPr="00273CF5" w14:paraId="111066A4" w14:textId="77777777" w:rsidTr="00273CF5">
        <w:tc>
          <w:tcPr>
            <w:tcW w:w="534" w:type="dxa"/>
            <w:shd w:val="clear" w:color="auto" w:fill="auto"/>
          </w:tcPr>
          <w:p w14:paraId="5D2EDFA6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1984" w:type="dxa"/>
            <w:shd w:val="clear" w:color="auto" w:fill="auto"/>
          </w:tcPr>
          <w:p w14:paraId="6A46C7B5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iCs/>
              </w:rPr>
              <w:t>Торговельна назва лікарського засобу</w:t>
            </w:r>
          </w:p>
        </w:tc>
        <w:tc>
          <w:tcPr>
            <w:tcW w:w="2726" w:type="dxa"/>
            <w:shd w:val="clear" w:color="auto" w:fill="auto"/>
          </w:tcPr>
          <w:p w14:paraId="386853E1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bCs/>
              </w:rPr>
              <w:t>Код за класифікатором медичних виробів НК 024:2023</w:t>
            </w:r>
          </w:p>
        </w:tc>
        <w:tc>
          <w:tcPr>
            <w:tcW w:w="4962" w:type="dxa"/>
            <w:shd w:val="clear" w:color="auto" w:fill="auto"/>
          </w:tcPr>
          <w:p w14:paraId="1566B283" w14:textId="688F9862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Технічний</w:t>
            </w:r>
            <w:r w:rsidR="00273CF5" w:rsidRPr="00273CF5"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</w:rPr>
              <w:t>опис</w:t>
            </w:r>
          </w:p>
        </w:tc>
        <w:tc>
          <w:tcPr>
            <w:tcW w:w="1134" w:type="dxa"/>
            <w:shd w:val="clear" w:color="auto" w:fill="auto"/>
          </w:tcPr>
          <w:p w14:paraId="1FDB01EA" w14:textId="67D5E8C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Одиниця</w:t>
            </w:r>
            <w:r w:rsidR="00273CF5" w:rsidRPr="00273CF5"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</w:rPr>
              <w:t>виміру</w:t>
            </w:r>
          </w:p>
        </w:tc>
        <w:tc>
          <w:tcPr>
            <w:tcW w:w="1134" w:type="dxa"/>
            <w:shd w:val="clear" w:color="auto" w:fill="auto"/>
          </w:tcPr>
          <w:p w14:paraId="2FE53BEF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08391612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Відповідність Так/Ні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8D1E28" w:rsidRPr="00273CF5" w14:paraId="49767BCB" w14:textId="77777777" w:rsidTr="00273CF5">
        <w:trPr>
          <w:trHeight w:val="2126"/>
        </w:trPr>
        <w:tc>
          <w:tcPr>
            <w:tcW w:w="534" w:type="dxa"/>
            <w:shd w:val="clear" w:color="auto" w:fill="auto"/>
          </w:tcPr>
          <w:p w14:paraId="3D3E5A99" w14:textId="77777777" w:rsidR="008D1E28" w:rsidRPr="00273CF5" w:rsidRDefault="008D1E28" w:rsidP="008D1E2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C268231" w14:textId="77777777" w:rsidR="008D1E28" w:rsidRPr="00273CF5" w:rsidRDefault="008D1E28" w:rsidP="008D1E2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</w:rPr>
              <w:t>Ацетон в сечі «Реагент»</w:t>
            </w:r>
            <w:r w:rsidRPr="00273CF5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726" w:type="dxa"/>
            <w:shd w:val="clear" w:color="auto" w:fill="auto"/>
          </w:tcPr>
          <w:p w14:paraId="0C5D46C7" w14:textId="497F289A" w:rsidR="008D1E28" w:rsidRPr="00273CF5" w:rsidRDefault="008D1E28" w:rsidP="00273CF5">
            <w:pPr>
              <w:widowControl w:val="0"/>
              <w:autoSpaceDE w:val="0"/>
              <w:autoSpaceDN w:val="0"/>
              <w:spacing w:before="5" w:after="0" w:line="247" w:lineRule="auto"/>
              <w:ind w:right="210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54519</w:t>
            </w:r>
            <w:r w:rsidRPr="00273CF5">
              <w:rPr>
                <w:rFonts w:ascii="Times New Roman" w:eastAsia="Times New Roman" w:hAnsi="Times New Roman" w:cs="Times New Roman"/>
              </w:rPr>
              <w:br/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Кетони сечі IVD</w:t>
            </w:r>
            <w:r w:rsidR="00273CF5" w:rsidRPr="00273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(діагностика in vitro), набір, колориметрична тест-смужка, експресаналіз</w:t>
            </w:r>
          </w:p>
        </w:tc>
        <w:tc>
          <w:tcPr>
            <w:tcW w:w="4962" w:type="dxa"/>
            <w:shd w:val="clear" w:color="auto" w:fill="auto"/>
          </w:tcPr>
          <w:p w14:paraId="717103E0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СКЛАД НАБОРУ</w:t>
            </w:r>
          </w:p>
          <w:p w14:paraId="17AEA270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Реагент-суміш: 1 х 10 г;</w:t>
            </w:r>
          </w:p>
          <w:p w14:paraId="219A521F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АНАЛІТИЧНІ ПОКАЗНИКИ</w:t>
            </w:r>
          </w:p>
          <w:p w14:paraId="384D21EA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Інтервал якісної оцінки результатів</w:t>
            </w:r>
          </w:p>
          <w:p w14:paraId="021ADFC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(напівкількісної) – від 50 до 1500 мг/л.</w:t>
            </w:r>
          </w:p>
          <w:p w14:paraId="5C06CF7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КІЛЬКІСТЬ ВИЗНАЧЕНЬ</w:t>
            </w:r>
          </w:p>
          <w:p w14:paraId="0C521F11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При використанні на 1 визначення 0,05 г</w:t>
            </w:r>
          </w:p>
          <w:p w14:paraId="457E8BF1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реагенту – 200</w:t>
            </w:r>
          </w:p>
        </w:tc>
        <w:tc>
          <w:tcPr>
            <w:tcW w:w="1134" w:type="dxa"/>
            <w:shd w:val="clear" w:color="auto" w:fill="auto"/>
          </w:tcPr>
          <w:p w14:paraId="22CB824E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7" w:lineRule="auto"/>
              <w:ind w:right="21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уп.</w:t>
            </w:r>
          </w:p>
        </w:tc>
        <w:tc>
          <w:tcPr>
            <w:tcW w:w="1134" w:type="dxa"/>
            <w:shd w:val="clear" w:color="auto" w:fill="auto"/>
          </w:tcPr>
          <w:p w14:paraId="7452B76F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7" w:lineRule="auto"/>
              <w:ind w:right="21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4541A0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7" w:lineRule="auto"/>
              <w:ind w:right="21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D1E28" w:rsidRPr="00273CF5" w14:paraId="0FE0998E" w14:textId="77777777" w:rsidTr="00273CF5">
        <w:tc>
          <w:tcPr>
            <w:tcW w:w="534" w:type="dxa"/>
            <w:shd w:val="clear" w:color="auto" w:fill="auto"/>
          </w:tcPr>
          <w:p w14:paraId="6177F60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5BA3093" w14:textId="77777777" w:rsidR="008D1E28" w:rsidRPr="00273CF5" w:rsidRDefault="008D1E28" w:rsidP="008D1E2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Гемоглобін «Філісіт» (набір для визначення концентрації гемоглобіну у крові)</w:t>
            </w:r>
          </w:p>
        </w:tc>
        <w:tc>
          <w:tcPr>
            <w:tcW w:w="2726" w:type="dxa"/>
            <w:shd w:val="clear" w:color="auto" w:fill="auto"/>
          </w:tcPr>
          <w:p w14:paraId="64928318" w14:textId="35EB8A4E" w:rsidR="008D1E28" w:rsidRPr="00273CF5" w:rsidRDefault="008D1E28" w:rsidP="00273CF5">
            <w:pPr>
              <w:widowControl w:val="0"/>
              <w:autoSpaceDE w:val="0"/>
              <w:autoSpaceDN w:val="0"/>
              <w:spacing w:before="5" w:after="0" w:line="247" w:lineRule="auto"/>
              <w:ind w:right="210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55872</w:t>
            </w:r>
            <w:r w:rsidRPr="00273C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br/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Загальний гемоглобін IVD (діагностика in vitro ), набір, спектрофотометричний аналіз</w:t>
            </w:r>
            <w:r w:rsidRPr="00273C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63BC0DD4" w14:textId="5EA4F3B6" w:rsidR="008D1E28" w:rsidRPr="00273CF5" w:rsidRDefault="008D1E28" w:rsidP="008D1E2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СКЛАД НАБОРУ1. Окислювальний реагент -1 флакон з (50 ± 2) мл;2. Калібрувальний розчин геміглобінцiаніду (відповідає пробі крові з концентрацією гемоглобіну (150 ± 3) г/л) -1 ампула з (5,0 ± 0,5) мл; 3. Ацетонцiангідрин -1 ампула з (1,5 ± 0,1) мл.</w:t>
            </w:r>
            <w:r w:rsidR="00273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АНЛІТИЧНІХ</w:t>
            </w:r>
            <w:r w:rsidR="00273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АРАКТЕРИСТИКИ</w:t>
            </w:r>
            <w:r w:rsidR="00273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Набір розрахований на 400 макро-, 800 напівмікровизначень гемоглобіну. Діапазон визначаємих концентрацій -від 30 г/л до 200 г/л. Коефіцієнт варіації визначення -не більше 2 %.</w:t>
            </w:r>
          </w:p>
        </w:tc>
        <w:tc>
          <w:tcPr>
            <w:tcW w:w="1134" w:type="dxa"/>
            <w:shd w:val="clear" w:color="auto" w:fill="auto"/>
          </w:tcPr>
          <w:p w14:paraId="406B5D40" w14:textId="1DFBAE2F" w:rsidR="008D1E28" w:rsidRPr="00273CF5" w:rsidRDefault="00273CF5" w:rsidP="008D1E28">
            <w:pPr>
              <w:widowControl w:val="0"/>
              <w:autoSpaceDE w:val="0"/>
              <w:autoSpaceDN w:val="0"/>
              <w:spacing w:before="5" w:after="0" w:line="247" w:lineRule="auto"/>
              <w:ind w:right="21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8D1E28" w:rsidRPr="00273CF5">
              <w:rPr>
                <w:rFonts w:ascii="Times New Roman" w:eastAsia="Times New Roman" w:hAnsi="Times New Roman" w:cs="Times New Roman"/>
              </w:rPr>
              <w:t>п.</w:t>
            </w:r>
          </w:p>
        </w:tc>
        <w:tc>
          <w:tcPr>
            <w:tcW w:w="1134" w:type="dxa"/>
            <w:shd w:val="clear" w:color="auto" w:fill="auto"/>
          </w:tcPr>
          <w:p w14:paraId="71E534EB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7" w:lineRule="auto"/>
              <w:ind w:right="21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12BFEF4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7" w:lineRule="auto"/>
              <w:ind w:right="21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D1E28" w:rsidRPr="00273CF5" w14:paraId="21AC33D3" w14:textId="77777777" w:rsidTr="00273CF5">
        <w:trPr>
          <w:trHeight w:val="501"/>
        </w:trPr>
        <w:tc>
          <w:tcPr>
            <w:tcW w:w="534" w:type="dxa"/>
            <w:shd w:val="clear" w:color="auto" w:fill="auto"/>
          </w:tcPr>
          <w:p w14:paraId="366F97EE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2246567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МОНО «Філісіт» набір для визначення концентрації глюкози у біологічних рідинах глюкозооксидазним методом.</w:t>
            </w:r>
          </w:p>
        </w:tc>
        <w:tc>
          <w:tcPr>
            <w:tcW w:w="2726" w:type="dxa"/>
            <w:shd w:val="clear" w:color="auto" w:fill="auto"/>
          </w:tcPr>
          <w:p w14:paraId="79532424" w14:textId="28259D6A" w:rsidR="008D1E28" w:rsidRPr="00273CF5" w:rsidRDefault="008D1E28" w:rsidP="00273CF5">
            <w:pPr>
              <w:widowControl w:val="0"/>
              <w:autoSpaceDE w:val="0"/>
              <w:autoSpaceDN w:val="0"/>
              <w:spacing w:before="3" w:after="0" w:line="247" w:lineRule="auto"/>
              <w:ind w:right="222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53302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Глюкоза IVD (діагностика in vitro ), набір, ферментний спектрофотометричний аналіз, експрес-аналіз</w:t>
            </w:r>
          </w:p>
        </w:tc>
        <w:tc>
          <w:tcPr>
            <w:tcW w:w="4962" w:type="dxa"/>
            <w:shd w:val="clear" w:color="auto" w:fill="auto"/>
          </w:tcPr>
          <w:p w14:paraId="059E5F8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302" w:lineRule="exact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набору: 1.Монореагент. 1флакон (1000±2,0) мл: - пероксидаза (1100±110) мг/л; - ВД- глюкозооксидоза (9000±900) мг/л; - 4- амінофеназол(55±5) мг/л; - фосфатний буфер (рН 7,2-7,4) (010±0,01) мг/л; - фенол (190±19) мг/л; - стабілізатори, активатори. 2. Калібрувальний розчин глюкози (10±0,5) мг/л – 2 ампули по (5,0±0,5) мл. Антикоагулянт – 2 пакети або флакони.</w:t>
            </w:r>
          </w:p>
        </w:tc>
        <w:tc>
          <w:tcPr>
            <w:tcW w:w="1134" w:type="dxa"/>
            <w:shd w:val="clear" w:color="auto" w:fill="auto"/>
          </w:tcPr>
          <w:p w14:paraId="27C2BD65" w14:textId="0CA1CABE" w:rsidR="008D1E28" w:rsidRPr="00273CF5" w:rsidRDefault="00273CF5" w:rsidP="008D1E28">
            <w:pPr>
              <w:widowControl w:val="0"/>
              <w:autoSpaceDE w:val="0"/>
              <w:autoSpaceDN w:val="0"/>
              <w:spacing w:before="3" w:after="0" w:line="247" w:lineRule="auto"/>
              <w:ind w:right="2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8D1E28" w:rsidRPr="00273CF5">
              <w:rPr>
                <w:rFonts w:ascii="Times New Roman" w:eastAsia="Times New Roman" w:hAnsi="Times New Roman" w:cs="Times New Roman"/>
              </w:rPr>
              <w:t>п.</w:t>
            </w:r>
          </w:p>
        </w:tc>
        <w:tc>
          <w:tcPr>
            <w:tcW w:w="1134" w:type="dxa"/>
            <w:shd w:val="clear" w:color="auto" w:fill="auto"/>
          </w:tcPr>
          <w:p w14:paraId="74E883E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3" w:after="0" w:line="247" w:lineRule="auto"/>
              <w:ind w:right="222"/>
              <w:jc w:val="both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14:paraId="17187E26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3" w:after="0" w:line="247" w:lineRule="auto"/>
              <w:ind w:right="22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1E28" w:rsidRPr="00273CF5" w14:paraId="7D3D11A8" w14:textId="77777777" w:rsidTr="00273CF5">
        <w:tc>
          <w:tcPr>
            <w:tcW w:w="534" w:type="dxa"/>
            <w:shd w:val="clear" w:color="auto" w:fill="auto"/>
          </w:tcPr>
          <w:p w14:paraId="664CEC15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009D7F1" w14:textId="77777777" w:rsidR="008D1E28" w:rsidRPr="00273CF5" w:rsidRDefault="008D1E28" w:rsidP="008D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Кислота азотна</w:t>
            </w:r>
          </w:p>
        </w:tc>
        <w:tc>
          <w:tcPr>
            <w:tcW w:w="2726" w:type="dxa"/>
            <w:shd w:val="clear" w:color="auto" w:fill="auto"/>
          </w:tcPr>
          <w:p w14:paraId="49B63EBE" w14:textId="77777777" w:rsidR="00273CF5" w:rsidRDefault="008D1E28" w:rsidP="00273CF5">
            <w:pPr>
              <w:widowControl w:val="0"/>
              <w:autoSpaceDE w:val="0"/>
              <w:autoSpaceDN w:val="0"/>
              <w:spacing w:before="5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62707 </w:t>
            </w:r>
          </w:p>
          <w:p w14:paraId="04AE0B20" w14:textId="08CA088A" w:rsidR="008D1E28" w:rsidRPr="00273CF5" w:rsidRDefault="008D1E28" w:rsidP="00273CF5">
            <w:pPr>
              <w:widowControl w:val="0"/>
              <w:autoSpaceDE w:val="0"/>
              <w:autoSpaceDN w:val="0"/>
              <w:spacing w:before="5"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Базовий компонент живильного середовища IVD (діагностика in vitro )</w:t>
            </w:r>
          </w:p>
        </w:tc>
        <w:tc>
          <w:tcPr>
            <w:tcW w:w="4962" w:type="dxa"/>
            <w:shd w:val="clear" w:color="auto" w:fill="auto"/>
          </w:tcPr>
          <w:p w14:paraId="23ED848C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Азотна кислота являє собою безбарвну рідину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 їдким запахом. Хімічний препарат призначений для хімічного аналізу лабораторних та науково-дослідних робіт.</w:t>
            </w:r>
          </w:p>
        </w:tc>
        <w:tc>
          <w:tcPr>
            <w:tcW w:w="1134" w:type="dxa"/>
            <w:shd w:val="clear" w:color="auto" w:fill="auto"/>
          </w:tcPr>
          <w:p w14:paraId="6A02B1FE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lastRenderedPageBreak/>
              <w:t>бут</w:t>
            </w:r>
          </w:p>
        </w:tc>
        <w:tc>
          <w:tcPr>
            <w:tcW w:w="1134" w:type="dxa"/>
            <w:shd w:val="clear" w:color="auto" w:fill="auto"/>
          </w:tcPr>
          <w:p w14:paraId="047353E4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765F38B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D1E28" w:rsidRPr="00273CF5" w14:paraId="4E72EF17" w14:textId="77777777" w:rsidTr="00273CF5">
        <w:tc>
          <w:tcPr>
            <w:tcW w:w="534" w:type="dxa"/>
            <w:shd w:val="clear" w:color="auto" w:fill="auto"/>
          </w:tcPr>
          <w:p w14:paraId="2ADB450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8F4061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Кислота оцтова крижана </w:t>
            </w:r>
          </w:p>
        </w:tc>
        <w:tc>
          <w:tcPr>
            <w:tcW w:w="2726" w:type="dxa"/>
            <w:shd w:val="clear" w:color="auto" w:fill="auto"/>
          </w:tcPr>
          <w:p w14:paraId="25E978BF" w14:textId="77777777" w:rsidR="00273CF5" w:rsidRDefault="008D1E28" w:rsidP="00273CF5">
            <w:pPr>
              <w:widowControl w:val="0"/>
              <w:autoSpaceDE w:val="0"/>
              <w:autoSpaceDN w:val="0"/>
              <w:spacing w:before="5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62707 </w:t>
            </w:r>
          </w:p>
          <w:p w14:paraId="0499A2EE" w14:textId="4614C57F" w:rsidR="008D1E28" w:rsidRPr="00273CF5" w:rsidRDefault="008D1E28" w:rsidP="00273CF5">
            <w:pPr>
              <w:widowControl w:val="0"/>
              <w:autoSpaceDE w:val="0"/>
              <w:autoSpaceDN w:val="0"/>
              <w:spacing w:before="5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Базовий компонент живильного середовища IVD (діагностика in vitro )</w:t>
            </w:r>
            <w:r w:rsidRPr="00273C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150C3564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 розчинником для багатьох органічних речовин, консервантом, використовується для синтезу речовин</w:t>
            </w:r>
          </w:p>
        </w:tc>
        <w:tc>
          <w:tcPr>
            <w:tcW w:w="1134" w:type="dxa"/>
            <w:shd w:val="clear" w:color="auto" w:fill="auto"/>
          </w:tcPr>
          <w:p w14:paraId="1069084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бут</w:t>
            </w:r>
          </w:p>
        </w:tc>
        <w:tc>
          <w:tcPr>
            <w:tcW w:w="1134" w:type="dxa"/>
            <w:shd w:val="clear" w:color="auto" w:fill="auto"/>
          </w:tcPr>
          <w:p w14:paraId="286E980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5CB2C65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279AB76E" w14:textId="77777777" w:rsidTr="00273CF5">
        <w:trPr>
          <w:trHeight w:val="215"/>
        </w:trPr>
        <w:tc>
          <w:tcPr>
            <w:tcW w:w="534" w:type="dxa"/>
            <w:shd w:val="clear" w:color="auto" w:fill="auto"/>
          </w:tcPr>
          <w:p w14:paraId="2A4B1B60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E65F96F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Сульфосаліцилова кислота</w:t>
            </w:r>
          </w:p>
        </w:tc>
        <w:tc>
          <w:tcPr>
            <w:tcW w:w="2726" w:type="dxa"/>
            <w:shd w:val="clear" w:color="auto" w:fill="auto"/>
          </w:tcPr>
          <w:p w14:paraId="491EDCB5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before="5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62707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Базовий компонент живильного середовища IVD (діагностика in vitro )</w:t>
            </w:r>
          </w:p>
        </w:tc>
        <w:tc>
          <w:tcPr>
            <w:tcW w:w="4962" w:type="dxa"/>
            <w:shd w:val="clear" w:color="auto" w:fill="auto"/>
          </w:tcPr>
          <w:p w14:paraId="4005ED3C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Являє собою безбарвні напівпрозорі кристали голчастої форми або білий кристалічний порошок. Сульфосаліцилова кислота застосовується для якісного визначення білка в сечі, при проведенні аналітичних робіт для визначення вмісту нітратів у воді.</w:t>
            </w:r>
          </w:p>
        </w:tc>
        <w:tc>
          <w:tcPr>
            <w:tcW w:w="1134" w:type="dxa"/>
            <w:shd w:val="clear" w:color="auto" w:fill="auto"/>
          </w:tcPr>
          <w:p w14:paraId="3E6AFCB3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296D3A11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E596C40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3F6ECB4D" w14:textId="77777777" w:rsidTr="00273CF5">
        <w:tc>
          <w:tcPr>
            <w:tcW w:w="534" w:type="dxa"/>
            <w:shd w:val="clear" w:color="auto" w:fill="auto"/>
          </w:tcPr>
          <w:p w14:paraId="757BCB2D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292E83D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гематологічний Diacon-3 Hematology Control Normal Level Diatron 3 мл</w:t>
            </w:r>
          </w:p>
        </w:tc>
        <w:tc>
          <w:tcPr>
            <w:tcW w:w="2726" w:type="dxa"/>
            <w:shd w:val="clear" w:color="auto" w:fill="auto"/>
          </w:tcPr>
          <w:p w14:paraId="7884D11A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before="5"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55866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Підрахунок клітин крові IVD (діагностика in vitro ), контрольний матеріал</w:t>
            </w:r>
          </w:p>
        </w:tc>
        <w:tc>
          <w:tcPr>
            <w:tcW w:w="4962" w:type="dxa"/>
            <w:shd w:val="clear" w:color="auto" w:fill="auto"/>
          </w:tcPr>
          <w:p w14:paraId="1A56D845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Гематологічний Контроль являє собою випробуваний контроль з цільної крові, призначений для контролю значень при підрахунку клітин множинних гематологічних параметрів. Гематологічний Контроль є діагностичним реагентом, що складається з еритроцитів людини, лейкоцитів ссавців і тромбоцитів ссавців, затриманих у плазмо-подібній рідині з консервантами. Контроль гематологічний Норма 1фл 3мл. Відкриті флакони повинні бути стабільні протягом не менше 8 днів.</w:t>
            </w:r>
          </w:p>
        </w:tc>
        <w:tc>
          <w:tcPr>
            <w:tcW w:w="1134" w:type="dxa"/>
            <w:shd w:val="clear" w:color="auto" w:fill="auto"/>
          </w:tcPr>
          <w:p w14:paraId="10B3926E" w14:textId="48AA14E6" w:rsidR="008D1E28" w:rsidRPr="00273CF5" w:rsidRDefault="0059341B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540544C0" w14:textId="2DB31F2A" w:rsidR="008D1E28" w:rsidRPr="00273CF5" w:rsidRDefault="0059341B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92B5BD4" w14:textId="4BBF47E1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0A792773" w14:textId="77777777" w:rsidTr="00273CF5">
        <w:tc>
          <w:tcPr>
            <w:tcW w:w="534" w:type="dxa"/>
            <w:shd w:val="clear" w:color="auto" w:fill="auto"/>
          </w:tcPr>
          <w:p w14:paraId="187A296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21934BDB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Натрій лимоннокислий 3 зам.2-водний,фарм</w:t>
            </w:r>
          </w:p>
        </w:tc>
        <w:tc>
          <w:tcPr>
            <w:tcW w:w="2726" w:type="dxa"/>
            <w:shd w:val="clear" w:color="auto" w:fill="auto"/>
          </w:tcPr>
          <w:p w14:paraId="2AD1D891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62707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Базовий компонент живильного середовища IVD (діагностика in vitro )</w:t>
            </w:r>
          </w:p>
        </w:tc>
        <w:tc>
          <w:tcPr>
            <w:tcW w:w="4962" w:type="dxa"/>
            <w:shd w:val="clear" w:color="auto" w:fill="auto"/>
          </w:tcPr>
          <w:p w14:paraId="4F6DFB81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Хімічний препарат призначений для хімічного аналізу лабораторних та науково-дослідних робіт; кристалоподібний порошок, біле забарвлення.</w:t>
            </w:r>
          </w:p>
        </w:tc>
        <w:tc>
          <w:tcPr>
            <w:tcW w:w="1134" w:type="dxa"/>
            <w:shd w:val="clear" w:color="auto" w:fill="auto"/>
          </w:tcPr>
          <w:p w14:paraId="495672FB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  <w:p w14:paraId="1485EF56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713B7C26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216A9B4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2F44E6C3" w14:textId="77777777" w:rsidTr="00273CF5">
        <w:tc>
          <w:tcPr>
            <w:tcW w:w="534" w:type="dxa"/>
            <w:shd w:val="clear" w:color="auto" w:fill="auto"/>
          </w:tcPr>
          <w:p w14:paraId="64EB1E13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2AED9AB1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Натрій хлористий чда </w:t>
            </w:r>
          </w:p>
        </w:tc>
        <w:tc>
          <w:tcPr>
            <w:tcW w:w="2726" w:type="dxa"/>
            <w:shd w:val="clear" w:color="auto" w:fill="auto"/>
          </w:tcPr>
          <w:p w14:paraId="78543F54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62707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Базовий компонент живильного середовища IVD (діагностика in vitro )</w:t>
            </w:r>
          </w:p>
        </w:tc>
        <w:tc>
          <w:tcPr>
            <w:tcW w:w="4962" w:type="dxa"/>
            <w:shd w:val="clear" w:color="auto" w:fill="auto"/>
          </w:tcPr>
          <w:p w14:paraId="530E8136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Хімічний препарат призначений для хімічного аналізу лабораторних та науково-дослідних робіт; безбарвна/біла кристалічна тверда речовина.</w:t>
            </w:r>
          </w:p>
        </w:tc>
        <w:tc>
          <w:tcPr>
            <w:tcW w:w="1134" w:type="dxa"/>
            <w:shd w:val="clear" w:color="auto" w:fill="auto"/>
          </w:tcPr>
          <w:p w14:paraId="6E7FCCA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37DB334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F4B1A8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41EDF3D8" w14:textId="77777777" w:rsidTr="00273CF5">
        <w:tc>
          <w:tcPr>
            <w:tcW w:w="534" w:type="dxa"/>
            <w:shd w:val="clear" w:color="auto" w:fill="auto"/>
          </w:tcPr>
          <w:p w14:paraId="0155924C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4ADA1DB7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Олія імерсійна 100 мл</w:t>
            </w:r>
          </w:p>
        </w:tc>
        <w:tc>
          <w:tcPr>
            <w:tcW w:w="2726" w:type="dxa"/>
            <w:shd w:val="clear" w:color="auto" w:fill="auto"/>
          </w:tcPr>
          <w:p w14:paraId="020C760B" w14:textId="77777777" w:rsidR="00273CF5" w:rsidRDefault="008D1E28" w:rsidP="00273CF5">
            <w:pPr>
              <w:widowControl w:val="0"/>
              <w:autoSpaceDE w:val="0"/>
              <w:autoSpaceDN w:val="0"/>
              <w:spacing w:before="5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43550 </w:t>
            </w:r>
          </w:p>
          <w:p w14:paraId="2CB2C07D" w14:textId="6889191B" w:rsidR="008D1E28" w:rsidRPr="00273CF5" w:rsidRDefault="008D1E28" w:rsidP="00273CF5">
            <w:pPr>
              <w:widowControl w:val="0"/>
              <w:autoSpaceDE w:val="0"/>
              <w:autoSpaceDN w:val="0"/>
              <w:spacing w:before="5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Фіксувальна рідина</w:t>
            </w:r>
            <w:r w:rsidR="00273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для мікроскопії, IVD (діагностика in vitro )</w:t>
            </w:r>
          </w:p>
        </w:tc>
        <w:tc>
          <w:tcPr>
            <w:tcW w:w="4962" w:type="dxa"/>
            <w:shd w:val="clear" w:color="auto" w:fill="auto"/>
          </w:tcPr>
          <w:p w14:paraId="608F338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Імерсійна  рідина для мікроскопії.Прозора жовтувата рідина ,не розчиняється у воді .Зберігається при температурі 15-25°С.</w:t>
            </w:r>
          </w:p>
        </w:tc>
        <w:tc>
          <w:tcPr>
            <w:tcW w:w="1134" w:type="dxa"/>
            <w:shd w:val="clear" w:color="auto" w:fill="auto"/>
          </w:tcPr>
          <w:p w14:paraId="70B8C41E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фл</w:t>
            </w:r>
          </w:p>
        </w:tc>
        <w:tc>
          <w:tcPr>
            <w:tcW w:w="1134" w:type="dxa"/>
            <w:shd w:val="clear" w:color="auto" w:fill="auto"/>
          </w:tcPr>
          <w:p w14:paraId="7B48995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B2EEAAF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24935A1E" w14:textId="77777777" w:rsidTr="00273CF5">
        <w:tc>
          <w:tcPr>
            <w:tcW w:w="534" w:type="dxa"/>
            <w:shd w:val="clear" w:color="auto" w:fill="auto"/>
          </w:tcPr>
          <w:p w14:paraId="1A6B0C19" w14:textId="3D2BFF76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</w:t>
            </w:r>
            <w:r w:rsidR="00DE10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9973942" w14:textId="4D3ED980" w:rsidR="008D1E28" w:rsidRDefault="008D1E28" w:rsidP="008D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</w:rPr>
              <w:t xml:space="preserve">Розчин ділюента </w:t>
            </w:r>
          </w:p>
          <w:p w14:paraId="17BBE8B6" w14:textId="51169FCD" w:rsidR="00512D2E" w:rsidRPr="00273CF5" w:rsidRDefault="00512D2E" w:rsidP="008D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2D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Diatro Dil-Diff Diatron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 л</w:t>
            </w:r>
          </w:p>
        </w:tc>
        <w:tc>
          <w:tcPr>
            <w:tcW w:w="2726" w:type="dxa"/>
            <w:shd w:val="clear" w:color="auto" w:fill="auto"/>
          </w:tcPr>
          <w:p w14:paraId="47EC6812" w14:textId="77777777" w:rsidR="008D1E28" w:rsidRPr="00201F88" w:rsidRDefault="00512D2E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</w:pPr>
            <w:r w:rsidRPr="00201F88"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  <w:lastRenderedPageBreak/>
              <w:t xml:space="preserve">58237 - Буферний </w:t>
            </w:r>
            <w:r w:rsidRPr="00201F88"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  <w:lastRenderedPageBreak/>
              <w:t>розчинник зразків IVD (діагностика in vitro), автоматичні/ напівавтоматичні системи)</w:t>
            </w:r>
          </w:p>
          <w:p w14:paraId="58AC9660" w14:textId="77777777" w:rsidR="00512D2E" w:rsidRPr="00201F88" w:rsidRDefault="00512D2E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</w:pPr>
          </w:p>
          <w:p w14:paraId="1EDB487D" w14:textId="16F84369" w:rsidR="00512D2E" w:rsidRPr="00201F88" w:rsidRDefault="00512D2E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</w:pPr>
          </w:p>
        </w:tc>
        <w:tc>
          <w:tcPr>
            <w:tcW w:w="4962" w:type="dxa"/>
            <w:shd w:val="clear" w:color="auto" w:fill="auto"/>
          </w:tcPr>
          <w:p w14:paraId="5D78A9FE" w14:textId="77777777" w:rsidR="008D1E28" w:rsidRPr="00273CF5" w:rsidRDefault="008D1E28" w:rsidP="008D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Ділюент (розчинник) являє собою буферний,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стабілізований і мікрофільтрований електролітний розчин для автоматичного розведення зразків крові людини, якісного і кількісного визначення еритроцитів (RBC), лейкоцитів (WBC) і субпопуляцій лейкоцитів, тромбоцитів (PLT) і вимірювання концентрації гемоглобіну (HGB) на гематологічних аналізаторах Фасування – 20л. Склад: Натрію хлорид &lt; 1,5%, буфери &lt; 1%, консерванти &lt; 0,5%, стабілізатори &lt; 0,5%. Стабільність після відкриття – не менше 120 днів. Загальний термін придатності: не менше 36 місяців.</w:t>
            </w:r>
          </w:p>
        </w:tc>
        <w:tc>
          <w:tcPr>
            <w:tcW w:w="1134" w:type="dxa"/>
            <w:shd w:val="clear" w:color="auto" w:fill="auto"/>
          </w:tcPr>
          <w:p w14:paraId="791E532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lastRenderedPageBreak/>
              <w:t>уп</w:t>
            </w:r>
          </w:p>
        </w:tc>
        <w:tc>
          <w:tcPr>
            <w:tcW w:w="1134" w:type="dxa"/>
            <w:shd w:val="clear" w:color="auto" w:fill="auto"/>
          </w:tcPr>
          <w:p w14:paraId="1B69163A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98669BE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02B040AE" w14:textId="77777777" w:rsidTr="00273CF5">
        <w:tc>
          <w:tcPr>
            <w:tcW w:w="534" w:type="dxa"/>
            <w:shd w:val="clear" w:color="auto" w:fill="auto"/>
          </w:tcPr>
          <w:p w14:paraId="43F4FE4D" w14:textId="3FE1D714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</w:t>
            </w:r>
            <w:r w:rsidR="00DE10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8CC9BCD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Лізуючий реагент Diatro Lyse-Diff Diatron з апаратним ключем 1 л</w:t>
            </w:r>
          </w:p>
        </w:tc>
        <w:tc>
          <w:tcPr>
            <w:tcW w:w="2726" w:type="dxa"/>
            <w:shd w:val="clear" w:color="auto" w:fill="auto"/>
          </w:tcPr>
          <w:p w14:paraId="4BCE8A36" w14:textId="77777777" w:rsidR="00273CF5" w:rsidRDefault="008D1E28" w:rsidP="0027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61165 </w:t>
            </w:r>
          </w:p>
          <w:p w14:paraId="4C81DA6B" w14:textId="6F91EA18" w:rsidR="008D1E28" w:rsidRPr="00273CF5" w:rsidRDefault="008D1E28" w:rsidP="0027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0F5F2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Реагент для лізису клітин крові IVD (діагностика in vitro)</w:t>
            </w:r>
          </w:p>
        </w:tc>
        <w:tc>
          <w:tcPr>
            <w:tcW w:w="4962" w:type="dxa"/>
            <w:shd w:val="clear" w:color="auto" w:fill="auto"/>
          </w:tcPr>
          <w:p w14:paraId="2CA517A2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Лізуючий Реагент являє собою стабілізований і мікрофільтрований лізуючий реагент для стромолізу еритроцитів (RBC), кількісного визначення лейкоцитів (WBC), 3-складової диференціації лейкоцитів (LYM, MID, GRAN) і визначення концентрації гемоглобіну (HGB) в зразках крові людини на гематологічних аналізаторах. Фасування – 1 л. Склад: ПАР &lt; 3,5%, буфери &lt; 1%, консерванти &lt; 0,5%, стабілізатори &lt; 0,5%. Стабільність після відкриття – не менше 120 днів. Загальній термін придатності: не менше 48 місяців</w:t>
            </w:r>
          </w:p>
        </w:tc>
        <w:tc>
          <w:tcPr>
            <w:tcW w:w="1134" w:type="dxa"/>
            <w:shd w:val="clear" w:color="auto" w:fill="auto"/>
          </w:tcPr>
          <w:p w14:paraId="548876BF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1134" w:type="dxa"/>
            <w:shd w:val="clear" w:color="auto" w:fill="auto"/>
          </w:tcPr>
          <w:p w14:paraId="12404F83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8370B10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62DE1479" w14:textId="77777777" w:rsidTr="00273CF5">
        <w:tc>
          <w:tcPr>
            <w:tcW w:w="534" w:type="dxa"/>
            <w:shd w:val="clear" w:color="auto" w:fill="auto"/>
          </w:tcPr>
          <w:p w14:paraId="3EADFAD9" w14:textId="15A59209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</w:t>
            </w:r>
            <w:r w:rsidR="00DE10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37D340C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Очищуючий розчин DiatroCleaner, 1 л</w:t>
            </w:r>
          </w:p>
        </w:tc>
        <w:tc>
          <w:tcPr>
            <w:tcW w:w="2726" w:type="dxa"/>
            <w:shd w:val="clear" w:color="auto" w:fill="auto"/>
          </w:tcPr>
          <w:p w14:paraId="65427956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DFEFD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DFEFD"/>
                <w:lang w:eastAsia="ru-RU"/>
              </w:rPr>
              <w:t>63377 </w:t>
            </w:r>
          </w:p>
          <w:p w14:paraId="4235D54C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Засіб для очищення приладу/ аналізатора IVD (діагностика in vitro )</w:t>
            </w:r>
          </w:p>
        </w:tc>
        <w:tc>
          <w:tcPr>
            <w:tcW w:w="4962" w:type="dxa"/>
            <w:shd w:val="clear" w:color="auto" w:fill="auto"/>
          </w:tcPr>
          <w:p w14:paraId="2644A485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Очисний реагент являє собою стабілізований і мікрофільтрований промивний розчин для регулярного автоматизованого очищення, ополіскування та промивки капілярів, трубок і камер гематологічного аналізатора, видалення компонентів осаду крові і ліпопротеїновихвідкладень на гематологічних аналізаторах AbacusJunior 30, Abacus 3CT, Abacus 380. Склад повинен відповідати: детергенти &lt; 1%, буфери &lt; 1%, консерванти &lt; 0,5%, стабілізатори &lt; 0,5%. Фасування: 1 л. Загальний термін придатності - не менше 48 місяців. Термін придатності після відкриття контейнера - не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менше 120 днів.</w:t>
            </w:r>
          </w:p>
        </w:tc>
        <w:tc>
          <w:tcPr>
            <w:tcW w:w="1134" w:type="dxa"/>
            <w:shd w:val="clear" w:color="auto" w:fill="auto"/>
          </w:tcPr>
          <w:p w14:paraId="326848FA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lastRenderedPageBreak/>
              <w:t>уп</w:t>
            </w:r>
          </w:p>
        </w:tc>
        <w:tc>
          <w:tcPr>
            <w:tcW w:w="1134" w:type="dxa"/>
            <w:shd w:val="clear" w:color="auto" w:fill="auto"/>
          </w:tcPr>
          <w:p w14:paraId="65C45D4F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93C8C45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4C0D8E48" w14:textId="77777777" w:rsidTr="00273CF5">
        <w:tc>
          <w:tcPr>
            <w:tcW w:w="534" w:type="dxa"/>
            <w:shd w:val="clear" w:color="auto" w:fill="auto"/>
          </w:tcPr>
          <w:p w14:paraId="7CC444E3" w14:textId="3313FE2D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</w:t>
            </w:r>
            <w:r w:rsidR="00DE10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093BDFE" w14:textId="23A3A370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Розчин промивний Diatro</w:t>
            </w:r>
            <w:r w:rsidR="0020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Hypoclean, 1 л</w:t>
            </w:r>
          </w:p>
        </w:tc>
        <w:tc>
          <w:tcPr>
            <w:tcW w:w="2726" w:type="dxa"/>
            <w:shd w:val="clear" w:color="auto" w:fill="auto"/>
          </w:tcPr>
          <w:p w14:paraId="0EEC60C4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DFEFD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DFEFD"/>
                <w:lang w:eastAsia="ru-RU"/>
              </w:rPr>
              <w:t>63377 </w:t>
            </w:r>
          </w:p>
          <w:p w14:paraId="1D48E81E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Засіб для очищення приладу/ аналізатора IVD (діагностика in vitro )</w:t>
            </w:r>
          </w:p>
        </w:tc>
        <w:tc>
          <w:tcPr>
            <w:tcW w:w="4962" w:type="dxa"/>
            <w:shd w:val="clear" w:color="auto" w:fill="auto"/>
          </w:tcPr>
          <w:p w14:paraId="10FD811F" w14:textId="6AB3436E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Гіпохлоритний реагент Diatro</w:t>
            </w:r>
            <w:r w:rsidR="0020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Hypoclean, 1 л, являє собою стабілізований і мікрофільтрований концентрований гіпохлоритний розчин для інтенсивного окисного очищення, ополіскування та промивки капілярів, трубок і камер гематологічного аналізатора, видалення компонентів осаду крові і</w:t>
            </w:r>
            <w:r w:rsidR="00273CF5"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ліпопротеїновихвідкладень на гематологічних аналізаторах Diatron</w:t>
            </w:r>
            <w:r w:rsidR="0020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Junior, Abacus</w:t>
            </w:r>
            <w:r w:rsidR="0020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Junior 30, Abacus</w:t>
            </w:r>
            <w:r w:rsidR="0020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Junior 5, Abacus 3CT, Abacus 380. Склад</w:t>
            </w:r>
            <w:r w:rsidR="0020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повинен відповідати: Детергенти &lt; 1.0% Гіпохлорит натрію &lt; 1.0% Гідроксид натрію &lt; 1.0 % Стабілізатори. &lt; 0.4% Термін придатності Diatro</w:t>
            </w:r>
            <w:r w:rsidR="00201F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Hypoclean становить 24 місяці з дати виготовлення, при зберіганні в заданому температурному діапазоні.</w:t>
            </w:r>
          </w:p>
        </w:tc>
        <w:tc>
          <w:tcPr>
            <w:tcW w:w="1134" w:type="dxa"/>
            <w:shd w:val="clear" w:color="auto" w:fill="auto"/>
          </w:tcPr>
          <w:p w14:paraId="684F3AE8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1134" w:type="dxa"/>
            <w:shd w:val="clear" w:color="auto" w:fill="auto"/>
          </w:tcPr>
          <w:p w14:paraId="4293BC69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8AFD1BA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2E039FB3" w14:textId="77777777" w:rsidTr="00273CF5">
        <w:tc>
          <w:tcPr>
            <w:tcW w:w="534" w:type="dxa"/>
            <w:shd w:val="clear" w:color="auto" w:fill="auto"/>
          </w:tcPr>
          <w:p w14:paraId="3F184576" w14:textId="356E51FA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</w:t>
            </w:r>
            <w:r w:rsidR="00DE10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12D8986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Фарба по Май-Грюнвальду «Генезіс»</w:t>
            </w:r>
          </w:p>
        </w:tc>
        <w:tc>
          <w:tcPr>
            <w:tcW w:w="2726" w:type="dxa"/>
            <w:shd w:val="clear" w:color="auto" w:fill="auto"/>
          </w:tcPr>
          <w:p w14:paraId="6B01A25C" w14:textId="6E87E509" w:rsidR="008D1E28" w:rsidRPr="00273CF5" w:rsidRDefault="008D1E28" w:rsidP="0027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42959 </w:t>
            </w:r>
            <w:r w:rsidRPr="00273C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br/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Барвник Май-Грюнвальда, IVD (діагностика in vitro )</w:t>
            </w:r>
          </w:p>
          <w:p w14:paraId="38BE849B" w14:textId="77777777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FF1F869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Розчин являє собою суміш барвників метиленового синього, еозину і азура I (розмір включаються в суміш барвників визначається спеціально підібраному співвідношенні залежно від спектральних ознак речовини). Засіб забарвлює еритроцити в крові в рожевий або рожево-сірий колір, цитоплазму лімфоцитів – в блакитний колір, їх ядра – вишнево-фіолетовий колір. Зернистість базофілів при впливі на них розчину барвника по Май-Грюнвальду набуває темно-ліловий відтінок. Застосування: Найбільш широко барвник використовується в клінічній медицині. Стабілізований розчин барвника по Май-Грюнвальду забезпечує фіксацію препаратів крові і попереднє забарвлення. Кількість фарбованих препаратів: одинлітр барвника-фіксатор розрахований на фіксацію не менше 1000 препаратів. До складу розчину по Май-Грюнвальду входить метанольний розчин 0,25% концентрації.</w:t>
            </w:r>
          </w:p>
        </w:tc>
        <w:tc>
          <w:tcPr>
            <w:tcW w:w="1134" w:type="dxa"/>
            <w:shd w:val="clear" w:color="auto" w:fill="auto"/>
          </w:tcPr>
          <w:p w14:paraId="00D3C6A4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Бут.</w:t>
            </w:r>
          </w:p>
        </w:tc>
        <w:tc>
          <w:tcPr>
            <w:tcW w:w="1134" w:type="dxa"/>
            <w:shd w:val="clear" w:color="auto" w:fill="auto"/>
          </w:tcPr>
          <w:p w14:paraId="577823AB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6FD49C3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629A054B" w14:textId="77777777" w:rsidTr="00273CF5">
        <w:tc>
          <w:tcPr>
            <w:tcW w:w="534" w:type="dxa"/>
            <w:shd w:val="clear" w:color="auto" w:fill="auto"/>
          </w:tcPr>
          <w:p w14:paraId="5C12520B" w14:textId="485612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DE10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5E25CCB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>Фарба по Романовському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br/>
              <w:t>з буфером «Генезіс»</w:t>
            </w:r>
          </w:p>
        </w:tc>
        <w:tc>
          <w:tcPr>
            <w:tcW w:w="2726" w:type="dxa"/>
            <w:shd w:val="clear" w:color="auto" w:fill="auto"/>
          </w:tcPr>
          <w:p w14:paraId="180EA7B3" w14:textId="6E6A76FD" w:rsidR="008D1E28" w:rsidRPr="00273CF5" w:rsidRDefault="008D1E28" w:rsidP="0027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44946 </w:t>
            </w:r>
            <w:r w:rsidRPr="00273C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br/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 xml:space="preserve">Фарбування за Романовським, IVD (діагностика in vitro ), набір </w:t>
            </w:r>
          </w:p>
        </w:tc>
        <w:tc>
          <w:tcPr>
            <w:tcW w:w="4962" w:type="dxa"/>
            <w:shd w:val="clear" w:color="auto" w:fill="auto"/>
          </w:tcPr>
          <w:p w14:paraId="05442A3D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Фарбник по Романовському призначений для забарвлювання формених елементів гематологічних препаратів і ґрунтується на хімічній взаємодії складових частин клітини з відповідними фарбуючими речовинами - ацидофільні утворення забарвлюються у відтінки червоного кольору, базофільні – у кольори від пурпурного до синього. Фарбник по Романовському являє собою розчин сухого фарбника азур-еозину і поставляється у флаконах по 1 л та може комплектуватись на замовлення фосфатним буфером для розведення фарби. Підготовка до аналізу 1. Приготування нейтральної води Для розведення концентрованого азур-еозину та промивання препаратів після фарбування краще використовувати нейтральну свіжу дистильовану воду з рН 7,0. Для цього потрібно забуферити дистильовану воду, використавши фосфатний буфер виробництва ТОВ Генезіс (сухий реактив), або приготувати нейтральну воду наступним чином: - розчинити 9,50 г натрію фосфорнокислого безводного в 900 мл дистильованої води. Довести рівень води до 1000 мл, добре перемішати (розчин А). - розчинити 9,07 г калію фосфорнокислого однозаміщеного в 900 мл дистильованої води. Довести рівень води до 1000 мл, добре перемішати (розчин Б). - в мірний циліндр на 1000 мл внести 63 мл розчину А та 37 мл розчину Б, довести до 1000 мл дистильованою водою. З допомогою рН-метру визначити рН отриманої нейтральної води. Значення рН повинно бути 7,0±0,2. Отриману нейтральну дистильовану воду зберігають в закритому флаконі при температурі +2°С÷+25°С.</w:t>
            </w:r>
          </w:p>
        </w:tc>
        <w:tc>
          <w:tcPr>
            <w:tcW w:w="1134" w:type="dxa"/>
            <w:shd w:val="clear" w:color="auto" w:fill="auto"/>
          </w:tcPr>
          <w:p w14:paraId="23152015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Бут.</w:t>
            </w:r>
          </w:p>
        </w:tc>
        <w:tc>
          <w:tcPr>
            <w:tcW w:w="1134" w:type="dxa"/>
            <w:shd w:val="clear" w:color="auto" w:fill="auto"/>
          </w:tcPr>
          <w:p w14:paraId="7C7C88C3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0979773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E28" w:rsidRPr="00273CF5" w14:paraId="005BCB36" w14:textId="77777777" w:rsidTr="00273CF5">
        <w:tc>
          <w:tcPr>
            <w:tcW w:w="534" w:type="dxa"/>
            <w:shd w:val="clear" w:color="auto" w:fill="auto"/>
          </w:tcPr>
          <w:p w14:paraId="49CA0B60" w14:textId="45FC5102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1</w:t>
            </w:r>
            <w:r w:rsidR="00DE10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72348C0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Холестерин-Ф</w:t>
            </w:r>
          </w:p>
        </w:tc>
        <w:tc>
          <w:tcPr>
            <w:tcW w:w="2726" w:type="dxa"/>
            <w:shd w:val="clear" w:color="auto" w:fill="auto"/>
          </w:tcPr>
          <w:p w14:paraId="4FAAD6A6" w14:textId="062A2E8F" w:rsidR="008D1E28" w:rsidRPr="00273CF5" w:rsidRDefault="008D1E28" w:rsidP="00273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53359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Загальний холестерин </w:t>
            </w:r>
            <w:r w:rsidRPr="00273C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IVD (діагностика in vitro ), набір, ферментний спектрофотометричний аналіз</w:t>
            </w:r>
          </w:p>
          <w:p w14:paraId="67F98388" w14:textId="77777777" w:rsidR="008D1E28" w:rsidRPr="00273CF5" w:rsidRDefault="008D1E28" w:rsidP="0027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CD1124D" w14:textId="6E9505BC" w:rsidR="008D1E28" w:rsidRPr="00273CF5" w:rsidRDefault="008D1E28" w:rsidP="00273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Набір розрахований на 50 макро-, 100 напівмікро- чи 200 мікровизначень холестерину. Діапазон </w:t>
            </w:r>
            <w:r w:rsidRPr="00273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визначаємих концентрацій — від 0,5 ммоль/л до 19,4 ммоль/л. Коефіцієнт варіації визначення — не більше 5 %. Чутливість на 0,001 од. оптичної щільності - не більше 0,018 ммоль/л (500 нм). Зберігання набору — при температурі від плюс 2 °С до плюс 8 °С. Гарантійний термін придатності набору — 12 місяців від дня виготовлення. Склад набору: 1. Ензимний реагент: - 2 флакони по (100 ±2) мл або 4 флакони по (50 ±2) мл; 2. Калібрувальний розчин холестерину з концентраций (5,17 ± 0,10) ммоль/л - 1 ампула або флакон з (1,5 ±0,1) мл.</w:t>
            </w:r>
          </w:p>
        </w:tc>
        <w:tc>
          <w:tcPr>
            <w:tcW w:w="1134" w:type="dxa"/>
            <w:shd w:val="clear" w:color="auto" w:fill="auto"/>
          </w:tcPr>
          <w:p w14:paraId="7BB81B24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lastRenderedPageBreak/>
              <w:t>уп</w:t>
            </w:r>
          </w:p>
        </w:tc>
        <w:tc>
          <w:tcPr>
            <w:tcW w:w="1134" w:type="dxa"/>
            <w:shd w:val="clear" w:color="auto" w:fill="auto"/>
          </w:tcPr>
          <w:p w14:paraId="60F627FE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73CF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5E69151C" w14:textId="77777777" w:rsidR="008D1E28" w:rsidRPr="00273CF5" w:rsidRDefault="008D1E28" w:rsidP="008D1E28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C8F89A4" w14:textId="77777777" w:rsidR="008D1E28" w:rsidRPr="00273CF5" w:rsidRDefault="008D1E28" w:rsidP="008D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04D2C" w14:textId="77777777" w:rsidR="008D1E28" w:rsidRPr="00273CF5" w:rsidRDefault="008D1E28" w:rsidP="008D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16F9C" w14:textId="3E0FCBF0" w:rsidR="00E63CFD" w:rsidRPr="00CD130D" w:rsidRDefault="00E63CFD" w:rsidP="00E63CFD">
      <w:pPr>
        <w:jc w:val="center"/>
        <w:rPr>
          <w:rFonts w:ascii="Times New Roman" w:hAnsi="Times New Roman" w:cs="Times New Roman"/>
          <w:b/>
          <w:color w:val="000000"/>
        </w:rPr>
      </w:pPr>
      <w:r w:rsidRPr="00CD130D">
        <w:rPr>
          <w:rFonts w:ascii="Times New Roman" w:hAnsi="Times New Roman" w:cs="Times New Roman"/>
          <w:b/>
          <w:color w:val="000000"/>
        </w:rPr>
        <w:t>ЗАГАЛЬНІ ВИМОГИ:</w:t>
      </w:r>
    </w:p>
    <w:p w14:paraId="23137204" w14:textId="0F945691" w:rsidR="00E63CFD" w:rsidRPr="00201F88" w:rsidRDefault="00E63CFD" w:rsidP="00E63CFD">
      <w:pPr>
        <w:ind w:firstLine="567"/>
        <w:contextualSpacing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CD130D">
        <w:rPr>
          <w:rFonts w:ascii="Times New Roman" w:eastAsia="Arial" w:hAnsi="Times New Roman" w:cs="Times New Roman"/>
          <w:color w:val="000000"/>
          <w:lang w:eastAsia="ru-RU"/>
        </w:rPr>
        <w:t xml:space="preserve">1. Товар, </w:t>
      </w:r>
      <w:r w:rsidRPr="00201F88">
        <w:rPr>
          <w:rFonts w:ascii="Times New Roman" w:eastAsia="Arial" w:hAnsi="Times New Roman" w:cs="Times New Roman"/>
          <w:color w:val="000000"/>
          <w:lang w:eastAsia="ru-RU"/>
        </w:rPr>
        <w:t xml:space="preserve">запропонований Учасником, повинен відповідати </w:t>
      </w:r>
      <w:bookmarkStart w:id="1" w:name="_Hlk124852720"/>
      <w:r w:rsidRPr="00201F88">
        <w:rPr>
          <w:rFonts w:ascii="Times New Roman" w:eastAsia="Arial" w:hAnsi="Times New Roman" w:cs="Times New Roman"/>
          <w:color w:val="000000"/>
          <w:lang w:eastAsia="ru-RU"/>
        </w:rPr>
        <w:t>медико – технічним вимогам</w:t>
      </w:r>
      <w:bookmarkEnd w:id="1"/>
      <w:r w:rsidRPr="00201F88">
        <w:rPr>
          <w:rFonts w:ascii="Times New Roman" w:eastAsia="Arial" w:hAnsi="Times New Roman" w:cs="Times New Roman"/>
          <w:color w:val="000000"/>
          <w:lang w:eastAsia="ru-RU"/>
        </w:rPr>
        <w:t xml:space="preserve">, встановленим в Технічному завданні, викладеному у даному додатку до тендерної документації (далі – ТД). </w:t>
      </w:r>
    </w:p>
    <w:p w14:paraId="5C7391DB" w14:textId="0563B755" w:rsidR="00E63CFD" w:rsidRPr="00201F88" w:rsidRDefault="00E63CFD" w:rsidP="00E63CFD">
      <w:pPr>
        <w:ind w:firstLine="567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201F88">
        <w:rPr>
          <w:rFonts w:ascii="Times New Roman" w:eastAsia="Arial" w:hAnsi="Times New Roman" w:cs="Times New Roman"/>
          <w:lang w:eastAsia="ru-RU"/>
        </w:rPr>
        <w:t>2. Товар має бути зареєстрований в Україні.</w:t>
      </w:r>
    </w:p>
    <w:p w14:paraId="5A85CB39" w14:textId="1CF34D02" w:rsidR="00E63CFD" w:rsidRPr="00CD130D" w:rsidRDefault="00201F88" w:rsidP="00E63CFD">
      <w:pPr>
        <w:ind w:firstLine="567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201F88">
        <w:rPr>
          <w:rFonts w:ascii="Times New Roman" w:eastAsia="Arial" w:hAnsi="Times New Roman" w:cs="Times New Roman"/>
          <w:lang w:eastAsia="ru-RU"/>
        </w:rPr>
        <w:t>3</w:t>
      </w:r>
      <w:r w:rsidR="00E63CFD" w:rsidRPr="00201F88">
        <w:rPr>
          <w:rFonts w:ascii="Times New Roman" w:eastAsia="Arial" w:hAnsi="Times New Roman" w:cs="Times New Roman"/>
          <w:lang w:eastAsia="ru-RU"/>
        </w:rPr>
        <w:t>. Товар повинен передаватись на склад Замовника в неушкодженій упаковці, яка  забезпечує  цілісність товару та збереження  його якості під час транспортування. Упаковка  не</w:t>
      </w:r>
      <w:r w:rsidR="00E63CFD" w:rsidRPr="00CD130D">
        <w:rPr>
          <w:rFonts w:ascii="Times New Roman" w:eastAsia="Arial" w:hAnsi="Times New Roman" w:cs="Times New Roman"/>
          <w:lang w:eastAsia="ru-RU"/>
        </w:rPr>
        <w:t xml:space="preserve"> повинна бути пошкоджена, розкрита, не укомплектована чи недоукомплектована. На упаковці повинні бути визначені дата виробництва та термін придатності.</w:t>
      </w:r>
    </w:p>
    <w:p w14:paraId="59D2409E" w14:textId="2CFE36EC" w:rsidR="00E63CFD" w:rsidRPr="00CD130D" w:rsidRDefault="00201F88" w:rsidP="00E63CFD">
      <w:pPr>
        <w:ind w:firstLine="567"/>
        <w:contextualSpacing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>
        <w:rPr>
          <w:rFonts w:ascii="Times New Roman" w:eastAsia="Arial" w:hAnsi="Times New Roman" w:cs="Times New Roman"/>
          <w:color w:val="000000"/>
          <w:lang w:eastAsia="ru-RU"/>
        </w:rPr>
        <w:t>4</w:t>
      </w:r>
      <w:r w:rsidR="00E63CFD" w:rsidRPr="00CD130D">
        <w:rPr>
          <w:rFonts w:ascii="Times New Roman" w:eastAsia="Arial" w:hAnsi="Times New Roman" w:cs="Times New Roman"/>
          <w:color w:val="000000"/>
          <w:lang w:eastAsia="ru-RU"/>
        </w:rPr>
        <w:t>. 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витрат.</w:t>
      </w:r>
    </w:p>
    <w:p w14:paraId="7205D15A" w14:textId="6E784362" w:rsidR="00E63CFD" w:rsidRPr="00CD130D" w:rsidRDefault="00201F88" w:rsidP="00E63CFD">
      <w:pPr>
        <w:ind w:firstLine="567"/>
        <w:contextualSpacing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>
        <w:rPr>
          <w:rFonts w:ascii="Times New Roman" w:eastAsia="Arial" w:hAnsi="Times New Roman" w:cs="Times New Roman"/>
          <w:color w:val="000000"/>
          <w:lang w:eastAsia="ru-RU"/>
        </w:rPr>
        <w:t>5</w:t>
      </w:r>
      <w:r w:rsidR="00E63CFD" w:rsidRPr="00CD130D">
        <w:rPr>
          <w:rFonts w:ascii="Times New Roman" w:eastAsia="Arial" w:hAnsi="Times New Roman" w:cs="Times New Roman"/>
          <w:color w:val="000000"/>
          <w:lang w:eastAsia="ru-RU"/>
        </w:rPr>
        <w:t xml:space="preserve">.  Кожна партія товару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 </w:t>
      </w:r>
    </w:p>
    <w:p w14:paraId="643D4F5F" w14:textId="117FB0F3" w:rsidR="00E63CFD" w:rsidRPr="00CD130D" w:rsidRDefault="00201F88" w:rsidP="00E63CFD">
      <w:pPr>
        <w:ind w:firstLine="567"/>
        <w:contextualSpacing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>
        <w:rPr>
          <w:rFonts w:ascii="Times New Roman" w:eastAsia="Arial" w:hAnsi="Times New Roman" w:cs="Times New Roman"/>
          <w:color w:val="000000"/>
          <w:lang w:eastAsia="ru-RU"/>
        </w:rPr>
        <w:t>6</w:t>
      </w:r>
      <w:r w:rsidR="00E63CFD" w:rsidRPr="00CD130D">
        <w:rPr>
          <w:rFonts w:ascii="Times New Roman" w:eastAsia="Arial" w:hAnsi="Times New Roman" w:cs="Times New Roman"/>
          <w:color w:val="000000"/>
          <w:lang w:eastAsia="ru-RU"/>
        </w:rPr>
        <w:t>. Дозування, форма випуску, концентрація Товару повинні відповідати специфікації заявленому переліку.</w:t>
      </w:r>
    </w:p>
    <w:p w14:paraId="1F1ADC16" w14:textId="1AF03AB9" w:rsidR="00E63CFD" w:rsidRPr="00111CD8" w:rsidRDefault="00201F88" w:rsidP="00E63CFD">
      <w:pPr>
        <w:ind w:firstLine="567"/>
        <w:contextualSpacing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>
        <w:rPr>
          <w:rFonts w:ascii="Times New Roman" w:eastAsia="Arial" w:hAnsi="Times New Roman" w:cs="Times New Roman"/>
          <w:color w:val="000000"/>
          <w:lang w:eastAsia="ru-RU"/>
        </w:rPr>
        <w:t>7</w:t>
      </w:r>
      <w:r w:rsidR="00E63CFD" w:rsidRPr="00CD130D">
        <w:rPr>
          <w:rFonts w:ascii="Times New Roman" w:eastAsia="Arial" w:hAnsi="Times New Roman" w:cs="Times New Roman"/>
          <w:color w:val="000000"/>
          <w:lang w:eastAsia="ru-RU"/>
        </w:rPr>
        <w:t xml:space="preserve">.  Товар </w:t>
      </w:r>
      <w:r w:rsidR="00E63CFD" w:rsidRPr="00111CD8">
        <w:rPr>
          <w:rFonts w:ascii="Times New Roman" w:eastAsia="Arial" w:hAnsi="Times New Roman" w:cs="Times New Roman"/>
          <w:color w:val="000000"/>
          <w:lang w:eastAsia="ru-RU"/>
        </w:rPr>
        <w:t>поставляється згідно заявки протягом 14 календарних днів з моменту отримання заявки від Замовника.</w:t>
      </w:r>
    </w:p>
    <w:p w14:paraId="6479F309" w14:textId="34058BCE" w:rsidR="00E63CFD" w:rsidRPr="00111CD8" w:rsidRDefault="00201F88" w:rsidP="00E63CFD">
      <w:pPr>
        <w:ind w:firstLine="567"/>
        <w:contextualSpacing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111CD8">
        <w:rPr>
          <w:rFonts w:ascii="Times New Roman" w:eastAsia="Arial" w:hAnsi="Times New Roman" w:cs="Times New Roman"/>
          <w:color w:val="000000"/>
          <w:lang w:eastAsia="ru-RU"/>
        </w:rPr>
        <w:t>8</w:t>
      </w:r>
      <w:r w:rsidR="00E63CFD" w:rsidRPr="00111CD8">
        <w:rPr>
          <w:rFonts w:ascii="Times New Roman" w:eastAsia="Arial" w:hAnsi="Times New Roman" w:cs="Times New Roman"/>
          <w:color w:val="000000"/>
          <w:lang w:eastAsia="ru-RU"/>
        </w:rPr>
        <w:t xml:space="preserve">.  На момент постачання товару залишок терміну зберігання продукції повинен бути не менше 80% загального терміну зберігання </w:t>
      </w:r>
    </w:p>
    <w:p w14:paraId="356D7F34" w14:textId="19032361" w:rsidR="00E63CFD" w:rsidRPr="00111CD8" w:rsidRDefault="00201F88" w:rsidP="00E63CFD">
      <w:pPr>
        <w:ind w:firstLine="567"/>
        <w:contextualSpacing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111CD8">
        <w:rPr>
          <w:rFonts w:ascii="Times New Roman" w:eastAsia="Arial" w:hAnsi="Times New Roman" w:cs="Times New Roman"/>
          <w:color w:val="000000"/>
          <w:lang w:eastAsia="ru-RU"/>
        </w:rPr>
        <w:t>9</w:t>
      </w:r>
      <w:r w:rsidR="00E63CFD" w:rsidRPr="00111CD8">
        <w:rPr>
          <w:rFonts w:ascii="Times New Roman" w:eastAsia="Arial" w:hAnsi="Times New Roman" w:cs="Times New Roman"/>
          <w:color w:val="000000"/>
          <w:lang w:eastAsia="ru-RU"/>
        </w:rPr>
        <w:t>. Неякісний товар підлягає обов’язковій заміні, але всі витрати пов’язані із заміною товару несе постачальник.</w:t>
      </w:r>
    </w:p>
    <w:p w14:paraId="65BD44C2" w14:textId="1716CF4A" w:rsidR="008D1E28" w:rsidRDefault="00E63CFD" w:rsidP="00E63CFD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lang w:eastAsia="ru-RU"/>
        </w:rPr>
      </w:pPr>
      <w:r w:rsidRPr="00111CD8">
        <w:rPr>
          <w:rFonts w:ascii="Times New Roman" w:eastAsia="Arial" w:hAnsi="Times New Roman" w:cs="Times New Roman"/>
          <w:color w:val="000000"/>
          <w:lang w:eastAsia="ru-RU"/>
        </w:rPr>
        <w:t>1</w:t>
      </w:r>
      <w:r w:rsidR="00201F88" w:rsidRPr="00111CD8">
        <w:rPr>
          <w:rFonts w:ascii="Times New Roman" w:eastAsia="Arial" w:hAnsi="Times New Roman" w:cs="Times New Roman"/>
          <w:color w:val="000000"/>
          <w:lang w:eastAsia="ru-RU"/>
        </w:rPr>
        <w:t>0</w:t>
      </w:r>
      <w:r w:rsidRPr="00111CD8">
        <w:rPr>
          <w:rFonts w:ascii="Times New Roman" w:eastAsia="Arial" w:hAnsi="Times New Roman" w:cs="Times New Roman"/>
          <w:color w:val="000000"/>
          <w:lang w:eastAsia="ru-RU"/>
        </w:rPr>
        <w:t>. Тендерна пропозиція</w:t>
      </w:r>
      <w:r w:rsidRPr="00CD130D">
        <w:rPr>
          <w:rFonts w:ascii="Times New Roman" w:eastAsia="Arial" w:hAnsi="Times New Roman" w:cs="Times New Roman"/>
          <w:color w:val="000000"/>
          <w:lang w:eastAsia="ru-RU"/>
        </w:rPr>
        <w:t>, що не відповідає медико - технічним вимогам, викладеним у цьому пункті буде відхилена як така, що не відповідає вимогам Документації тендерної пропозиції.</w:t>
      </w:r>
    </w:p>
    <w:p w14:paraId="7DC92D71" w14:textId="77777777" w:rsidR="001C6FD9" w:rsidRDefault="001C6FD9" w:rsidP="00E63CFD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lang w:eastAsia="ru-RU"/>
        </w:rPr>
      </w:pPr>
      <w:bookmarkStart w:id="2" w:name="_Hlk157603096"/>
      <w:r>
        <w:rPr>
          <w:rFonts w:ascii="Times New Roman" w:eastAsia="Arial" w:hAnsi="Times New Roman" w:cs="Times New Roman"/>
          <w:color w:val="000000"/>
          <w:lang w:eastAsia="ru-RU"/>
        </w:rPr>
        <w:t xml:space="preserve">11. </w:t>
      </w:r>
      <w:r w:rsidRPr="001C6FD9">
        <w:rPr>
          <w:rFonts w:ascii="Times New Roman" w:eastAsia="Arial" w:hAnsi="Times New Roman" w:cs="Times New Roman"/>
          <w:color w:val="000000"/>
          <w:lang w:eastAsia="ru-RU"/>
        </w:rPr>
        <w:t>Товар, що  пропонується, повинен бути внесений до Державного реєстру медичної техніки та виробів медичного призначення або введений в обіг відповідно до законодавства у сфері технічного регулювання  та</w:t>
      </w:r>
      <w:r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1C6FD9">
        <w:rPr>
          <w:rFonts w:ascii="Times New Roman" w:eastAsia="Arial" w:hAnsi="Times New Roman" w:cs="Times New Roman"/>
          <w:color w:val="000000"/>
          <w:lang w:eastAsia="ru-RU"/>
        </w:rPr>
        <w:t xml:space="preserve">оцінки відповідності у передбаченому законодавством порядку. </w:t>
      </w:r>
    </w:p>
    <w:p w14:paraId="611AF9FC" w14:textId="772E4B67" w:rsidR="001C6FD9" w:rsidRPr="00273CF5" w:rsidRDefault="001C6FD9" w:rsidP="00E63C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lang w:eastAsia="ru-RU"/>
        </w:rPr>
        <w:lastRenderedPageBreak/>
        <w:t xml:space="preserve">12. </w:t>
      </w:r>
      <w:r w:rsidRPr="001C6FD9">
        <w:rPr>
          <w:rFonts w:ascii="Times New Roman" w:eastAsia="Arial" w:hAnsi="Times New Roman" w:cs="Times New Roman"/>
          <w:color w:val="000000"/>
          <w:lang w:eastAsia="ru-RU"/>
        </w:rPr>
        <w:t>Термін придатності не менше 75% з дати виготовлення. Надати копію декларації чи копію сертифікату, що підтверджують можливість введення в обіг або експлуатацію медичного виробу.</w:t>
      </w:r>
    </w:p>
    <w:bookmarkEnd w:id="2"/>
    <w:p w14:paraId="2903B406" w14:textId="77777777" w:rsidR="00403ABE" w:rsidRPr="00273CF5" w:rsidRDefault="00403ABE"/>
    <w:sectPr w:rsidR="00403ABE" w:rsidRPr="00273CF5" w:rsidSect="00273C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3B7"/>
    <w:rsid w:val="00111CD8"/>
    <w:rsid w:val="001C6FD9"/>
    <w:rsid w:val="00201F88"/>
    <w:rsid w:val="00273CF5"/>
    <w:rsid w:val="002B63B7"/>
    <w:rsid w:val="0030068C"/>
    <w:rsid w:val="00403ABE"/>
    <w:rsid w:val="00512D2E"/>
    <w:rsid w:val="0059341B"/>
    <w:rsid w:val="00711680"/>
    <w:rsid w:val="008D1E28"/>
    <w:rsid w:val="00DE10ED"/>
    <w:rsid w:val="00E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02B8"/>
  <w15:docId w15:val="{6A475A89-FA56-4CA6-9617-AC528F51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LP-4</dc:creator>
  <cp:keywords/>
  <dc:description/>
  <cp:lastModifiedBy>Адвока</cp:lastModifiedBy>
  <cp:revision>11</cp:revision>
  <dcterms:created xsi:type="dcterms:W3CDTF">2024-01-30T13:02:00Z</dcterms:created>
  <dcterms:modified xsi:type="dcterms:W3CDTF">2024-02-01T09:56:00Z</dcterms:modified>
</cp:coreProperties>
</file>