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D8" w:rsidRDefault="00B13FD8" w:rsidP="00B13FD8">
      <w:pPr>
        <w:jc w:val="right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lang w:val="uk-UA"/>
        </w:rPr>
        <w:t>Додаток №1</w:t>
      </w:r>
      <w:r>
        <w:rPr>
          <w:rFonts w:ascii="Times New Roman" w:hAnsi="Times New Roman" w:cs="Times New Roman"/>
          <w:i/>
          <w:sz w:val="24"/>
          <w:lang w:val="uk-UA"/>
        </w:rPr>
        <w:t xml:space="preserve"> до тендерної документації </w:t>
      </w:r>
    </w:p>
    <w:p w:rsidR="00B13FD8" w:rsidRDefault="00B13FD8" w:rsidP="00B13FD8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Кваліфікаційні критерії</w:t>
      </w:r>
    </w:p>
    <w:tbl>
      <w:tblPr>
        <w:tblStyle w:val="a5"/>
        <w:tblW w:w="10343" w:type="dxa"/>
        <w:tblInd w:w="0" w:type="dxa"/>
        <w:tblLook w:val="04A0" w:firstRow="1" w:lastRow="0" w:firstColumn="1" w:lastColumn="0" w:noHBand="0" w:noVBand="1"/>
      </w:tblPr>
      <w:tblGrid>
        <w:gridCol w:w="562"/>
        <w:gridCol w:w="2977"/>
        <w:gridCol w:w="6804"/>
      </w:tblGrid>
      <w:tr w:rsidR="00B13FD8" w:rsidTr="00B13FD8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Назва кваліфікаційного критерію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Спосіб підтвердження кваліфікаційного критерію</w:t>
            </w:r>
          </w:p>
        </w:tc>
      </w:tr>
      <w:tr w:rsidR="00B13FD8" w:rsidRPr="00B13FD8" w:rsidTr="00B13FD8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0" w:rsidRPr="00D91390" w:rsidRDefault="00B13FD8" w:rsidP="00D9139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</w:t>
            </w:r>
            <w:r w:rsidR="00D91390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  <w:r w:rsidR="00D91390" w:rsidRPr="00D913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91390" w:rsidRPr="00D913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Аналогічним договором вважається договір на  поставку будь-якого товару за </w:t>
            </w:r>
            <w:r w:rsidR="00D91390" w:rsidRPr="00D9139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ДК 021:2015: </w:t>
            </w:r>
            <w:r w:rsidR="00D91390" w:rsidRPr="00D9139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eastAsia="en-US"/>
              </w:rPr>
              <w:t>33690000-3</w:t>
            </w:r>
            <w:r w:rsidR="00D91390" w:rsidRPr="00D91390">
              <w:rPr>
                <w:rFonts w:ascii="Times New Roman" w:eastAsia="Calibri" w:hAnsi="Times New Roman" w:cs="Times New Roman"/>
                <w:i/>
                <w:color w:val="777777"/>
                <w:sz w:val="24"/>
                <w:szCs w:val="24"/>
                <w:shd w:val="clear" w:color="auto" w:fill="FDFEFD"/>
                <w:lang w:eastAsia="en-US"/>
              </w:rPr>
              <w:t> - </w:t>
            </w:r>
            <w:r w:rsidR="00D91390" w:rsidRPr="00D9139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eastAsia="en-US"/>
              </w:rPr>
              <w:t>Лікарські засоби різні</w:t>
            </w:r>
            <w:r w:rsidR="00D91390" w:rsidRPr="00D91390">
              <w:rPr>
                <w:rFonts w:ascii="Arial" w:eastAsia="Calibri" w:hAnsi="Arial" w:cs="Arial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  <w:lang w:val="uk-UA" w:eastAsia="en-US"/>
              </w:rPr>
              <w:t xml:space="preserve"> </w:t>
            </w:r>
            <w:r w:rsidR="00D91390" w:rsidRPr="00D913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або товару, який є предметом закупівлі.</w:t>
            </w:r>
          </w:p>
          <w:p w:rsidR="00B13FD8" w:rsidRDefault="00D91390" w:rsidP="00D91390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D91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Інформація та документи можуть надаватися про частково виконаний  договір, дія якого не закінчена.</w:t>
            </w:r>
          </w:p>
          <w:p w:rsidR="00B13FD8" w:rsidRPr="00D91390" w:rsidRDefault="00B13FD8" w:rsidP="00D91390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en-US"/>
              </w:rPr>
              <w:t>Форма 1</w:t>
            </w:r>
          </w:p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t>Довідка</w:t>
            </w:r>
          </w:p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B13FD8" w:rsidRDefault="00B13FD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93"/>
              <w:gridCol w:w="2189"/>
              <w:gridCol w:w="1881"/>
              <w:gridCol w:w="2015"/>
            </w:tblGrid>
            <w:tr w:rsidR="00B13FD8" w:rsidRPr="00B13FD8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№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Найменування замовника за договором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 xml:space="preserve">Номер та дата договору 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 w:eastAsia="en-US"/>
                    </w:rPr>
                    <w:t>Документ(и), що підтверджують виконання договору</w:t>
                  </w:r>
                </w:p>
              </w:tc>
            </w:tr>
            <w:tr w:rsidR="00B13FD8" w:rsidRPr="00B13FD8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  <w:tr w:rsidR="00B13FD8" w:rsidRPr="00B13FD8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FD8" w:rsidRDefault="00B13FD8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</w:tbl>
          <w:p w:rsidR="00B13FD8" w:rsidRDefault="00B13FD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13FD8" w:rsidRDefault="00B13FD8" w:rsidP="00B13FD8">
      <w:pPr>
        <w:rPr>
          <w:rFonts w:ascii="Times New Roman" w:hAnsi="Times New Roman" w:cs="Times New Roman"/>
          <w:i/>
          <w:sz w:val="24"/>
          <w:lang w:val="uk-UA"/>
        </w:rPr>
      </w:pPr>
    </w:p>
    <w:p w:rsidR="00B13FD8" w:rsidRDefault="00B13FD8" w:rsidP="00B13FD8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lang w:val="uk-UA"/>
        </w:rPr>
        <w:t xml:space="preserve">Підстави для відмови  в участі в процедурі закупівлі  (пункт 47 Особливостей). 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>
        <w:rPr>
          <w:rFonts w:ascii="Times New Roman" w:hAnsi="Times New Roman"/>
          <w:sz w:val="28"/>
          <w:szCs w:val="28"/>
        </w:rPr>
        <w:t>.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>Учасник проц</w:t>
      </w:r>
      <w:r>
        <w:rPr>
          <w:rFonts w:ascii="Times New Roman" w:hAnsi="Times New Roman"/>
          <w:sz w:val="24"/>
          <w:szCs w:val="28"/>
          <w:shd w:val="clear" w:color="auto" w:fill="FFFFFF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B13FD8" w:rsidRDefault="00B13FD8" w:rsidP="00D91390">
      <w:pPr>
        <w:pStyle w:val="a4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та 7 пункту 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47 Особливостей.</w:t>
      </w:r>
    </w:p>
    <w:p w:rsidR="00B13FD8" w:rsidRDefault="00B13FD8" w:rsidP="00D91390">
      <w:pPr>
        <w:pStyle w:val="a3"/>
        <w:widowControl w:val="0"/>
        <w:spacing w:before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lastRenderedPageBreak/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>
        <w:rPr>
          <w:rFonts w:ascii="Times New Roman" w:hAnsi="Times New Roman"/>
          <w:sz w:val="24"/>
          <w:szCs w:val="28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B13FD8" w:rsidRDefault="00B13FD8" w:rsidP="00D9139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p w:rsidR="00B13FD8" w:rsidRDefault="00B13FD8" w:rsidP="00D9139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</w:p>
    <w:tbl>
      <w:tblPr>
        <w:tblW w:w="102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74"/>
        <w:gridCol w:w="3557"/>
        <w:gridCol w:w="2765"/>
        <w:gridCol w:w="3219"/>
      </w:tblGrid>
      <w:tr w:rsidR="00B13FD8" w:rsidTr="00AF2CC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учасника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Для переможця</w:t>
            </w:r>
          </w:p>
        </w:tc>
      </w:tr>
      <w:tr w:rsidR="00B13FD8" w:rsidTr="00AF2CC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rFonts w:ascii="Times New Roman" w:hAnsi="Times New Roman" w:cs="Times New Roman"/>
                <w:lang w:val="uk-UA"/>
              </w:rPr>
              <w:t xml:space="preserve"> підтверджує в електронній системі закупівель відсутність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в учасника </w:t>
            </w:r>
            <w:r>
              <w:rPr>
                <w:rFonts w:ascii="Times New Roman" w:hAnsi="Times New Roman" w:cs="Times New Roman"/>
                <w:lang w:val="uk-UA"/>
              </w:rPr>
              <w:t>підстав, визначених цим підпунктом.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AF2CC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RPr="00AF2CCC" w:rsidTr="00AF2CC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Pr="0011225E" w:rsidRDefault="0011225E" w:rsidP="007504C2">
            <w:pPr>
              <w:spacing w:after="0" w:line="100" w:lineRule="atLeast"/>
              <w:rPr>
                <w:sz w:val="24"/>
                <w:szCs w:val="24"/>
                <w:lang w:val="uk-UA"/>
              </w:rPr>
            </w:pPr>
            <w:r w:rsidRPr="0011225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Замовник перевіряє самостійно у реєстрі осіб, які вчинили корупційні та пов’язані з корупцією правопорушення</w:t>
            </w:r>
            <w:r w:rsidRPr="00112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B13FD8" w:rsidTr="00AF2CC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RPr="00B13FD8" w:rsidTr="00AF2CC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</w:t>
            </w:r>
            <w:r>
              <w:rPr>
                <w:rFonts w:ascii="Times New Roman" w:hAnsi="Times New Roman" w:cs="Times New Roman"/>
              </w:rPr>
              <w:lastRenderedPageBreak/>
              <w:t>якої не знято або не погашено в установленому законом порядку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закупівель під час подання тендерної пропозиції.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13FD8" w:rsidRPr="00B13FD8" w:rsidTr="00AF2CCC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>
              <w:rPr>
                <w:rFonts w:ascii="Times New Roman" w:hAnsi="Times New Roman" w:cs="Times New Roman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B13FD8" w:rsidTr="00AF2CC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</w:rPr>
              <w:t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підтверджує в електронній системі закупівель відсутність </w:t>
            </w:r>
            <w:r>
              <w:rPr>
                <w:rFonts w:ascii="Times New Roman" w:hAnsi="Times New Roman" w:cs="Times New Roman"/>
                <w:szCs w:val="28"/>
                <w:shd w:val="clear" w:color="auto" w:fill="FFFFFF"/>
                <w:lang w:val="uk-UA"/>
              </w:rPr>
              <w:t xml:space="preserve">в учасника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підстав, визначених цим підпунктом.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AF2CC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</w:rPr>
              <w:t>часник процедури закупівлі визнаний в установленому законом порядку банкрутом та стосовно нього відкрита ліквідаційна процедура;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AF2CCC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AF2CCC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t>Підтвердження не вимагається</w:t>
            </w:r>
          </w:p>
        </w:tc>
      </w:tr>
      <w:tr w:rsidR="00B13FD8" w:rsidTr="00AF2CC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публічних закупівель товарів, робіт і послуг згідно із Законом України “Про санкції”</w:t>
            </w:r>
            <w:r>
              <w:rPr>
                <w:rFonts w:ascii="IBM Plex Serif" w:hAnsi="IBM Plex Serif" w:cs="IBM Plex Serif"/>
                <w:color w:val="000000"/>
                <w:sz w:val="24"/>
                <w:szCs w:val="28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закупівель під час подання тендерної пропозиції.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Default="00B13FD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Підтвердження не вимагається</w:t>
            </w:r>
          </w:p>
        </w:tc>
      </w:tr>
      <w:tr w:rsidR="00B13FD8" w:rsidRPr="00AF2CCC" w:rsidTr="00AF2CC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 єсистемі закупівель під час подання тендерної пропозиції.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D8" w:rsidRPr="0011225E" w:rsidRDefault="0011225E">
            <w:pPr>
              <w:spacing w:after="0" w:line="100" w:lineRule="atLeast"/>
              <w:rPr>
                <w:lang w:val="uk-UA"/>
              </w:rPr>
            </w:pPr>
            <w:r w:rsidRPr="0011225E">
              <w:rPr>
                <w:rFonts w:ascii="Times New Roman" w:eastAsia="Calibri" w:hAnsi="Times New Roman" w:cs="Times New Roman"/>
                <w:lang w:val="uk-UA" w:eastAsia="ru-RU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B13FD8" w:rsidRPr="00AF2CCC" w:rsidTr="00AF2CCC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</w:rPr>
              <w:t>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Довідка в довільній формі про відсутність зазначених підстав;</w:t>
            </w:r>
          </w:p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B13FD8" w:rsidRDefault="00B13FD8">
            <w:pPr>
              <w:spacing w:after="0"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r>
              <w:rPr>
                <w:rFonts w:ascii="Times New Roman" w:hAnsi="Times New Roman" w:cs="Times New Roman"/>
              </w:rPr>
              <w:t>Якщо замовник вважає таке підтвердження достатнім, учаснику процедури закупівлі не може бути відмовлено в участі в процедурі закупівлі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D8" w:rsidRDefault="00B13FD8">
            <w:pPr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hAnsi="Times New Roman" w:cs="Times New Roman"/>
              </w:rPr>
              <w:t>— протягом трьох років з дати дострокового розірвання такого договору.</w:t>
            </w:r>
          </w:p>
          <w:p w:rsidR="00B13FD8" w:rsidRDefault="00B13FD8">
            <w:pPr>
              <w:spacing w:line="100" w:lineRule="atLeast"/>
              <w:rPr>
                <w:rFonts w:ascii="Times New Roman" w:hAnsi="Times New Roman" w:cs="Times New Roman"/>
                <w:lang w:val="uk-UA"/>
              </w:rPr>
            </w:pPr>
          </w:p>
          <w:p w:rsidR="00B13FD8" w:rsidRDefault="00B13FD8">
            <w:pPr>
              <w:pStyle w:val="a3"/>
              <w:widowControl w:val="0"/>
              <w:ind w:firstLine="0"/>
              <w:jc w:val="both"/>
            </w:pPr>
            <w:r>
              <w:rPr>
                <w:rFonts w:ascii="Times New Roman" w:hAnsi="Times New Roman"/>
                <w:sz w:val="22"/>
                <w:szCs w:val="28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AF2CCC" w:rsidRDefault="00AF2CCC" w:rsidP="00AF2CCC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AF2CCC" w:rsidRPr="00640766" w:rsidRDefault="00AF2CCC" w:rsidP="00AF2CCC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4076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AF2CCC" w:rsidRPr="00640766" w:rsidRDefault="00AF2CCC" w:rsidP="00AF2CCC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40766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14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особливостей.</w:t>
      </w:r>
    </w:p>
    <w:p w:rsidR="00B13FD8" w:rsidRDefault="00B13FD8" w:rsidP="00B13FD8">
      <w:pPr>
        <w:rPr>
          <w:lang w:val="uk-UA"/>
        </w:rPr>
      </w:pPr>
    </w:p>
    <w:p w:rsidR="008D44B3" w:rsidRPr="00B13FD8" w:rsidRDefault="008D44B3">
      <w:pPr>
        <w:rPr>
          <w:rFonts w:ascii="Times New Roman" w:hAnsi="Times New Roman" w:cs="Times New Roman"/>
          <w:lang w:val="uk-UA"/>
        </w:rPr>
      </w:pPr>
    </w:p>
    <w:sectPr w:rsidR="008D44B3" w:rsidRPr="00B13FD8" w:rsidSect="00242AEA">
      <w:pgSz w:w="11906" w:h="16838" w:code="9"/>
      <w:pgMar w:top="426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BM Plex Serif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72"/>
    <w:rsid w:val="0011225E"/>
    <w:rsid w:val="0021765E"/>
    <w:rsid w:val="00242AEA"/>
    <w:rsid w:val="003233CC"/>
    <w:rsid w:val="00476447"/>
    <w:rsid w:val="007504C2"/>
    <w:rsid w:val="00870199"/>
    <w:rsid w:val="008D44B3"/>
    <w:rsid w:val="00902464"/>
    <w:rsid w:val="00AB3205"/>
    <w:rsid w:val="00AF2CCC"/>
    <w:rsid w:val="00B13FD8"/>
    <w:rsid w:val="00C80F72"/>
    <w:rsid w:val="00D91390"/>
    <w:rsid w:val="00DF539A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58F5"/>
  <w15:chartTrackingRefBased/>
  <w15:docId w15:val="{11448587-74AF-42F6-B76B-45768465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D8"/>
    <w:pPr>
      <w:suppressAutoHyphens/>
      <w:spacing w:after="200" w:line="276" w:lineRule="auto"/>
    </w:pPr>
    <w:rPr>
      <w:rFonts w:ascii="Calibri" w:eastAsia="SimSun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13FD8"/>
    <w:pPr>
      <w:spacing w:before="120" w:after="0" w:line="100" w:lineRule="atLeast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Содержимое таблицы"/>
    <w:basedOn w:val="a"/>
    <w:rsid w:val="00B13FD8"/>
    <w:pPr>
      <w:suppressLineNumbers/>
    </w:pPr>
  </w:style>
  <w:style w:type="table" w:styleId="a5">
    <w:name w:val="Table Grid"/>
    <w:basedOn w:val="a1"/>
    <w:uiPriority w:val="39"/>
    <w:rsid w:val="00B13FD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1958</Words>
  <Characters>11163</Characters>
  <Application>Microsoft Office Word</Application>
  <DocSecurity>0</DocSecurity>
  <Lines>93</Lines>
  <Paragraphs>26</Paragraphs>
  <ScaleCrop>false</ScaleCrop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3r3r</dc:creator>
  <cp:keywords/>
  <dc:description/>
  <cp:lastModifiedBy>3r3r</cp:lastModifiedBy>
  <cp:revision>18</cp:revision>
  <dcterms:created xsi:type="dcterms:W3CDTF">2023-11-03T12:27:00Z</dcterms:created>
  <dcterms:modified xsi:type="dcterms:W3CDTF">2024-03-13T16:03:00Z</dcterms:modified>
</cp:coreProperties>
</file>