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E0" w:rsidRPr="00742AD6" w:rsidRDefault="006E6DE0" w:rsidP="006E6DE0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742AD6">
        <w:rPr>
          <w:color w:val="000000"/>
        </w:rPr>
        <w:t xml:space="preserve">Додаток №1 </w:t>
      </w:r>
    </w:p>
    <w:p w:rsidR="006E6DE0" w:rsidRPr="00742AD6" w:rsidRDefault="006E6DE0" w:rsidP="006E6DE0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742AD6">
        <w:rPr>
          <w:color w:val="000000"/>
        </w:rPr>
        <w:t>до тендерної документації</w:t>
      </w:r>
    </w:p>
    <w:p w:rsidR="006E6DE0" w:rsidRPr="00742AD6" w:rsidRDefault="006E6DE0" w:rsidP="006E6DE0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  <w:sz w:val="24"/>
          <w:szCs w:val="24"/>
        </w:rPr>
      </w:pPr>
    </w:p>
    <w:p w:rsidR="006E6DE0" w:rsidRPr="00742AD6" w:rsidRDefault="006E6DE0" w:rsidP="006E6DE0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  <w:sz w:val="24"/>
          <w:szCs w:val="24"/>
        </w:rPr>
      </w:pPr>
    </w:p>
    <w:p w:rsidR="006E6DE0" w:rsidRPr="00742AD6" w:rsidRDefault="006E6DE0" w:rsidP="006E6DE0">
      <w:pPr>
        <w:ind w:firstLine="709"/>
        <w:contextualSpacing/>
        <w:jc w:val="center"/>
        <w:rPr>
          <w:b/>
          <w:sz w:val="24"/>
          <w:szCs w:val="24"/>
        </w:rPr>
      </w:pPr>
      <w:r w:rsidRPr="00742AD6">
        <w:rPr>
          <w:b/>
          <w:sz w:val="24"/>
          <w:szCs w:val="24"/>
        </w:rPr>
        <w:t>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вимогам замовника</w:t>
      </w:r>
    </w:p>
    <w:p w:rsidR="006E6DE0" w:rsidRPr="00742AD6" w:rsidRDefault="006E6DE0" w:rsidP="006E6DE0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  <w:sz w:val="24"/>
          <w:szCs w:val="24"/>
        </w:rPr>
      </w:pPr>
    </w:p>
    <w:p w:rsidR="006E6DE0" w:rsidRPr="00742AD6" w:rsidRDefault="006E6DE0" w:rsidP="006E6DE0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  <w:sz w:val="24"/>
          <w:szCs w:val="24"/>
        </w:rPr>
      </w:pPr>
    </w:p>
    <w:p w:rsidR="006E6DE0" w:rsidRPr="00431F7D" w:rsidRDefault="006E6DE0" w:rsidP="006E6DE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color w:val="000000"/>
        </w:rPr>
      </w:pPr>
      <w:r w:rsidRPr="00431F7D">
        <w:rPr>
          <w:b/>
          <w:color w:val="000000"/>
        </w:rPr>
        <w:t>Перелік документів та інформації для підтвердження відповідності Учасника кваліфікаційним критеріям, визначеним у статті 16 Закону «Про публічні закупівлі»:</w:t>
      </w:r>
    </w:p>
    <w:tbl>
      <w:tblPr>
        <w:tblW w:w="10092" w:type="dxa"/>
        <w:jc w:val="center"/>
        <w:tblLayout w:type="fixed"/>
        <w:tblLook w:val="0400" w:firstRow="0" w:lastRow="0" w:firstColumn="0" w:lastColumn="0" w:noHBand="0" w:noVBand="1"/>
      </w:tblPr>
      <w:tblGrid>
        <w:gridCol w:w="478"/>
        <w:gridCol w:w="2966"/>
        <w:gridCol w:w="6648"/>
      </w:tblGrid>
      <w:tr w:rsidR="006E6DE0" w:rsidRPr="00431F7D" w:rsidTr="00390C0C">
        <w:trPr>
          <w:trHeight w:val="690"/>
          <w:jc w:val="center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DE0" w:rsidRPr="00431F7D" w:rsidRDefault="006E6DE0" w:rsidP="00390C0C">
            <w:pPr>
              <w:jc w:val="center"/>
              <w:rPr>
                <w:b/>
                <w:color w:val="000000" w:themeColor="text1"/>
              </w:rPr>
            </w:pPr>
            <w:r w:rsidRPr="00431F7D">
              <w:rPr>
                <w:b/>
                <w:bCs/>
              </w:rPr>
              <w:t>№ з/п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DE0" w:rsidRPr="00431F7D" w:rsidRDefault="006E6DE0" w:rsidP="00390C0C">
            <w:pPr>
              <w:jc w:val="center"/>
              <w:rPr>
                <w:b/>
                <w:color w:val="000000" w:themeColor="text1"/>
              </w:rPr>
            </w:pPr>
            <w:r w:rsidRPr="00431F7D">
              <w:rPr>
                <w:b/>
                <w:color w:val="000000" w:themeColor="text1"/>
              </w:rPr>
              <w:t>Кваліфікаційні критерії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DE0" w:rsidRPr="00431F7D" w:rsidRDefault="006E6DE0" w:rsidP="00390C0C">
            <w:pPr>
              <w:jc w:val="center"/>
              <w:rPr>
                <w:b/>
                <w:color w:val="000000" w:themeColor="text1"/>
              </w:rPr>
            </w:pPr>
            <w:r w:rsidRPr="00431F7D">
              <w:rPr>
                <w:b/>
                <w:color w:val="000000" w:themeColor="text1"/>
              </w:rPr>
              <w:t>Документи та інформація, які підтверджують відповідність Учасника кваліфікаційним критеріям</w:t>
            </w:r>
          </w:p>
        </w:tc>
      </w:tr>
      <w:tr w:rsidR="006E6DE0" w:rsidRPr="00431F7D" w:rsidTr="00390C0C">
        <w:trPr>
          <w:trHeight w:val="2006"/>
          <w:jc w:val="center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431F7D" w:rsidRDefault="006E6DE0" w:rsidP="00390C0C">
            <w:pPr>
              <w:jc w:val="center"/>
            </w:pPr>
            <w:r w:rsidRPr="00431F7D"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431F7D" w:rsidRDefault="006E6DE0" w:rsidP="00390C0C">
            <w:pPr>
              <w:jc w:val="both"/>
              <w:rPr>
                <w:b/>
              </w:rPr>
            </w:pPr>
            <w:r w:rsidRPr="00431F7D">
              <w:rPr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431F7D" w:rsidRDefault="006E6DE0" w:rsidP="00390C0C">
            <w:pPr>
              <w:pStyle w:val="a4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31F7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повинен надати:</w:t>
            </w:r>
          </w:p>
          <w:p w:rsidR="006E6D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7D69B5">
              <w:rPr>
                <w:sz w:val="20"/>
                <w:szCs w:val="20"/>
                <w:lang w:val="uk-UA"/>
              </w:rPr>
              <w:t>1. Довідка</w:t>
            </w:r>
            <w:r w:rsidRPr="007D69B5">
              <w:rPr>
                <w:rFonts w:eastAsia="Batang"/>
                <w:sz w:val="20"/>
                <w:szCs w:val="20"/>
                <w:lang w:val="uk-UA"/>
              </w:rPr>
              <w:t xml:space="preserve"> про наявність у Учасника досвіду виконання </w:t>
            </w:r>
            <w:r w:rsidRPr="007D69B5">
              <w:rPr>
                <w:rFonts w:eastAsia="Batang"/>
                <w:b/>
                <w:sz w:val="20"/>
                <w:szCs w:val="20"/>
                <w:lang w:val="uk-UA"/>
              </w:rPr>
              <w:t>аналогічного (аналогічних) договору (договорів)</w:t>
            </w:r>
            <w:r>
              <w:rPr>
                <w:rFonts w:eastAsia="Batang"/>
                <w:b/>
                <w:sz w:val="20"/>
                <w:szCs w:val="20"/>
                <w:lang w:val="uk-UA"/>
              </w:rPr>
              <w:t>*</w:t>
            </w:r>
            <w:r w:rsidRPr="007D69B5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7D69B5">
              <w:rPr>
                <w:rFonts w:eastAsia="Batang"/>
                <w:b/>
                <w:sz w:val="20"/>
                <w:szCs w:val="20"/>
                <w:lang w:val="uk-UA"/>
              </w:rPr>
              <w:t>за предметом закупівлі (не менше одного договору)</w:t>
            </w:r>
            <w:r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7D69B5">
              <w:rPr>
                <w:color w:val="000000"/>
                <w:sz w:val="20"/>
                <w:szCs w:val="20"/>
              </w:rPr>
              <w:t xml:space="preserve">за 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Ф</w:t>
            </w:r>
            <w:proofErr w:type="spellStart"/>
            <w:r w:rsidRPr="000010E0">
              <w:rPr>
                <w:i/>
                <w:color w:val="000000"/>
                <w:sz w:val="20"/>
                <w:szCs w:val="20"/>
              </w:rPr>
              <w:t>ормою</w:t>
            </w:r>
            <w:proofErr w:type="spellEnd"/>
            <w:r w:rsidRPr="000010E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010E0">
              <w:rPr>
                <w:i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6E6D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  <w:r>
              <w:rPr>
                <w:rFonts w:eastAsia="Batang"/>
                <w:i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Форма 1</w:t>
            </w:r>
          </w:p>
          <w:p w:rsidR="006E6DE0" w:rsidRPr="000010E0" w:rsidRDefault="006E6DE0" w:rsidP="00390C0C">
            <w:pPr>
              <w:jc w:val="center"/>
              <w:rPr>
                <w:sz w:val="24"/>
                <w:szCs w:val="24"/>
                <w:lang w:eastAsia="uk-UA"/>
              </w:rPr>
            </w:pPr>
            <w:r w:rsidRPr="000010E0">
              <w:rPr>
                <w:b/>
                <w:bCs/>
                <w:color w:val="000000"/>
                <w:lang w:eastAsia="uk-UA"/>
              </w:rPr>
              <w:t>Довідка</w:t>
            </w:r>
          </w:p>
          <w:p w:rsidR="006E6DE0" w:rsidRPr="000010E0" w:rsidRDefault="006E6DE0" w:rsidP="00390C0C">
            <w:pPr>
              <w:jc w:val="center"/>
              <w:rPr>
                <w:sz w:val="24"/>
                <w:szCs w:val="24"/>
                <w:lang w:eastAsia="uk-UA"/>
              </w:rPr>
            </w:pPr>
            <w:r w:rsidRPr="000010E0">
              <w:rPr>
                <w:b/>
                <w:bCs/>
                <w:color w:val="000000"/>
                <w:lang w:eastAsia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6E6DE0" w:rsidRPr="000010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 w:eastAsia="ar-SA"/>
              </w:rPr>
            </w:pPr>
          </w:p>
          <w:p w:rsidR="006E6DE0" w:rsidRPr="007D69B5" w:rsidRDefault="006E6DE0" w:rsidP="00390C0C">
            <w:pPr>
              <w:jc w:val="both"/>
              <w:rPr>
                <w:lang w:eastAsia="uk-UA"/>
              </w:rPr>
            </w:pPr>
            <w:r w:rsidRPr="007D69B5">
              <w:rPr>
                <w:color w:val="000000"/>
                <w:lang w:eastAsia="uk-UA"/>
              </w:rPr>
              <w:t xml:space="preserve">Учасник _________ </w:t>
            </w:r>
            <w:r w:rsidRPr="00D57FF7">
              <w:rPr>
                <w:i/>
                <w:color w:val="000000"/>
                <w:lang w:eastAsia="uk-UA"/>
              </w:rPr>
              <w:t>(зазначається на</w:t>
            </w:r>
            <w:r>
              <w:rPr>
                <w:i/>
                <w:color w:val="000000"/>
                <w:lang w:eastAsia="uk-UA"/>
              </w:rPr>
              <w:t>йменування</w:t>
            </w:r>
            <w:r w:rsidRPr="00D57FF7">
              <w:rPr>
                <w:i/>
                <w:color w:val="000000"/>
                <w:lang w:eastAsia="uk-UA"/>
              </w:rPr>
              <w:t xml:space="preserve"> учасника)</w:t>
            </w:r>
            <w:r w:rsidRPr="007D69B5">
              <w:rPr>
                <w:color w:val="000000"/>
                <w:lang w:eastAsia="uk-UA"/>
              </w:rPr>
              <w:t xml:space="preserve">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6E6D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page" w:horzAnchor="margin" w:tblpY="3961"/>
              <w:tblOverlap w:val="never"/>
              <w:tblW w:w="62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417"/>
              <w:gridCol w:w="1418"/>
              <w:gridCol w:w="1417"/>
              <w:gridCol w:w="1559"/>
            </w:tblGrid>
            <w:tr w:rsidR="006E6DE0" w:rsidRPr="007D69B5" w:rsidTr="00390C0C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E6DE0" w:rsidRPr="000010E0" w:rsidRDefault="006E6DE0" w:rsidP="00390C0C">
                  <w:pPr>
                    <w:spacing w:line="0" w:lineRule="atLeast"/>
                    <w:rPr>
                      <w:lang w:eastAsia="uk-UA"/>
                    </w:rPr>
                  </w:pPr>
                  <w:r w:rsidRPr="000010E0">
                    <w:rPr>
                      <w:b/>
                      <w:bCs/>
                      <w:color w:val="000000"/>
                      <w:lang w:eastAsia="uk-UA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E6DE0" w:rsidRPr="000010E0" w:rsidRDefault="006E6DE0" w:rsidP="00390C0C">
                  <w:pPr>
                    <w:spacing w:line="0" w:lineRule="atLeast"/>
                    <w:rPr>
                      <w:lang w:eastAsia="uk-UA"/>
                    </w:rPr>
                  </w:pPr>
                  <w:r w:rsidRPr="000010E0">
                    <w:rPr>
                      <w:b/>
                      <w:bCs/>
                      <w:color w:val="000000"/>
                      <w:lang w:eastAsia="uk-UA"/>
                    </w:rPr>
                    <w:t xml:space="preserve">Найменування </w:t>
                  </w:r>
                  <w:r>
                    <w:rPr>
                      <w:b/>
                      <w:bCs/>
                      <w:color w:val="000000"/>
                      <w:lang w:eastAsia="uk-UA"/>
                    </w:rPr>
                    <w:t>замовника за договором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E6DE0" w:rsidRPr="000010E0" w:rsidRDefault="006E6DE0" w:rsidP="00390C0C">
                  <w:pPr>
                    <w:spacing w:line="0" w:lineRule="atLeast"/>
                    <w:rPr>
                      <w:lang w:eastAsia="uk-UA"/>
                    </w:rPr>
                  </w:pPr>
                  <w:r w:rsidRPr="000010E0">
                    <w:rPr>
                      <w:b/>
                      <w:bCs/>
                      <w:color w:val="000000"/>
                      <w:lang w:eastAsia="uk-UA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E6DE0" w:rsidRDefault="006E6DE0" w:rsidP="00390C0C">
                  <w:pPr>
                    <w:spacing w:line="0" w:lineRule="atLeast"/>
                    <w:rPr>
                      <w:b/>
                      <w:color w:val="000000" w:themeColor="text1"/>
                      <w:lang w:eastAsia="uk-UA"/>
                    </w:rPr>
                  </w:pPr>
                </w:p>
                <w:p w:rsidR="006E6DE0" w:rsidRPr="000010E0" w:rsidRDefault="006E6DE0" w:rsidP="00390C0C">
                  <w:pPr>
                    <w:spacing w:line="0" w:lineRule="atLeast"/>
                    <w:rPr>
                      <w:b/>
                      <w:lang w:eastAsia="uk-UA"/>
                    </w:rPr>
                  </w:pPr>
                  <w:r w:rsidRPr="000010E0">
                    <w:rPr>
                      <w:b/>
                      <w:color w:val="000000" w:themeColor="text1"/>
                      <w:lang w:eastAsia="uk-UA"/>
                    </w:rPr>
                    <w:t xml:space="preserve">Строки поставки </w:t>
                  </w:r>
                  <w:r>
                    <w:rPr>
                      <w:b/>
                      <w:color w:val="000000" w:themeColor="text1"/>
                      <w:lang w:eastAsia="uk-UA"/>
                    </w:rPr>
                    <w:t>визначені умовами договору</w:t>
                  </w:r>
                  <w:r w:rsidRPr="000010E0">
                    <w:rPr>
                      <w:b/>
                      <w:color w:val="000000" w:themeColor="text1"/>
                      <w:lang w:eastAsia="uk-UA"/>
                    </w:rPr>
                    <w:t xml:space="preserve"> договором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DE0" w:rsidRDefault="006E6DE0" w:rsidP="00390C0C">
                  <w:pPr>
                    <w:spacing w:line="0" w:lineRule="atLeast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  <w:p w:rsidR="006E6DE0" w:rsidRPr="000010E0" w:rsidRDefault="006E6DE0" w:rsidP="00390C0C">
                  <w:pPr>
                    <w:spacing w:line="0" w:lineRule="atLeast"/>
                    <w:rPr>
                      <w:lang w:eastAsia="uk-UA"/>
                    </w:rPr>
                  </w:pPr>
                  <w:r w:rsidRPr="000010E0">
                    <w:rPr>
                      <w:b/>
                      <w:bCs/>
                      <w:color w:val="000000"/>
                      <w:lang w:eastAsia="uk-UA"/>
                    </w:rPr>
                    <w:t>Документ(и), що підтверджують виконання договору</w:t>
                  </w:r>
                </w:p>
                <w:p w:rsidR="006E6DE0" w:rsidRPr="000010E0" w:rsidRDefault="006E6DE0" w:rsidP="00390C0C">
                  <w:pPr>
                    <w:spacing w:line="0" w:lineRule="atLeast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</w:tr>
            <w:tr w:rsidR="006E6DE0" w:rsidRPr="007D69B5" w:rsidTr="00390C0C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E6DE0" w:rsidRPr="007D69B5" w:rsidRDefault="006E6DE0" w:rsidP="00390C0C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E6DE0" w:rsidRDefault="006E6DE0" w:rsidP="00390C0C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E6DE0" w:rsidRPr="007D69B5" w:rsidRDefault="006E6DE0" w:rsidP="00390C0C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E6DE0" w:rsidRPr="007D69B5" w:rsidRDefault="006E6DE0" w:rsidP="00390C0C">
                  <w:pPr>
                    <w:spacing w:line="0" w:lineRule="atLeast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DE0" w:rsidRPr="007D69B5" w:rsidRDefault="006E6DE0" w:rsidP="00390C0C">
                  <w:pPr>
                    <w:spacing w:line="0" w:lineRule="atLeast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</w:tr>
          </w:tbl>
          <w:p w:rsidR="006E6D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</w:p>
          <w:p w:rsidR="006E6D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</w:p>
          <w:p w:rsidR="006E6D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431F7D">
              <w:rPr>
                <w:rFonts w:eastAsia="Batang"/>
                <w:sz w:val="20"/>
                <w:szCs w:val="20"/>
                <w:lang w:val="uk-UA"/>
              </w:rPr>
              <w:t xml:space="preserve">2. </w:t>
            </w:r>
            <w:r w:rsidRPr="00431F7D">
              <w:rPr>
                <w:rFonts w:eastAsia="Batang"/>
                <w:b/>
                <w:sz w:val="20"/>
                <w:szCs w:val="20"/>
                <w:lang w:val="uk-UA"/>
              </w:rPr>
              <w:t xml:space="preserve">Сканована копія вказаного договору (договорів)* </w:t>
            </w:r>
            <w:r w:rsidRPr="00431F7D">
              <w:rPr>
                <w:b/>
                <w:color w:val="000000" w:themeColor="text1"/>
                <w:sz w:val="20"/>
                <w:szCs w:val="20"/>
                <w:lang w:val="uk-UA"/>
              </w:rPr>
              <w:t>та документу</w:t>
            </w:r>
            <w:r w:rsidRPr="00431F7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431F7D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документів), що підтверджує (</w:t>
            </w:r>
            <w:proofErr w:type="spellStart"/>
            <w:r w:rsidRPr="00431F7D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-ють</w:t>
            </w:r>
            <w:proofErr w:type="spellEnd"/>
            <w:r w:rsidRPr="00431F7D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) </w:t>
            </w:r>
            <w:r w:rsidRPr="00431F7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своєчасне та належне виконання учасником умов договору(</w:t>
            </w:r>
            <w:proofErr w:type="spellStart"/>
            <w:r w:rsidRPr="00431F7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-ів</w:t>
            </w:r>
            <w:proofErr w:type="spellEnd"/>
            <w:r w:rsidRPr="00431F7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), зазначеного (</w:t>
            </w:r>
            <w:proofErr w:type="spellStart"/>
            <w:r w:rsidRPr="00431F7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-их</w:t>
            </w:r>
            <w:proofErr w:type="spellEnd"/>
            <w:r w:rsidRPr="00431F7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) у довідці: сканована копія накладної/видаткової накладної (накладних/видаткових накладних), або інший підтверджуючий документ). </w:t>
            </w:r>
            <w:r w:rsidRPr="00431F7D">
              <w:rPr>
                <w:i/>
                <w:color w:val="000000" w:themeColor="text1"/>
                <w:sz w:val="20"/>
                <w:szCs w:val="20"/>
                <w:lang w:val="uk-UA"/>
              </w:rPr>
              <w:t>(Договір, та документи що підтверджують виконання договору, надають у вигляді сканованої копії з оригіналу документа/або їх копій завірених Учасником)**</w:t>
            </w:r>
          </w:p>
          <w:p w:rsidR="006E6DE0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hd w:val="clear" w:color="auto" w:fill="FFFFFF"/>
              </w:rPr>
            </w:pPr>
          </w:p>
          <w:p w:rsidR="006E6DE0" w:rsidRPr="00431F7D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  <w:lang w:val="uk-UA"/>
              </w:rPr>
              <w:t>*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Під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аналогічним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договором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слід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розуміти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повністю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виконаний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договір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на продаж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циркуляційних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насосів</w:t>
            </w:r>
            <w:proofErr w:type="spellEnd"/>
            <w:r w:rsidRPr="00D57FF7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  <w:p w:rsidR="006E6DE0" w:rsidRPr="00431F7D" w:rsidRDefault="006E6DE0" w:rsidP="00390C0C">
            <w:pPr>
              <w:pStyle w:val="a4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lang w:val="uk-UA"/>
              </w:rPr>
            </w:pPr>
          </w:p>
          <w:p w:rsidR="006E6DE0" w:rsidRPr="00A56443" w:rsidRDefault="006E6DE0" w:rsidP="00390C0C">
            <w:pPr>
              <w:ind w:firstLine="369"/>
              <w:jc w:val="both"/>
              <w:rPr>
                <w:color w:val="000000" w:themeColor="text1"/>
                <w:u w:val="single"/>
              </w:rPr>
            </w:pPr>
            <w:r>
              <w:t>*</w:t>
            </w:r>
            <w:r w:rsidRPr="00431F7D">
              <w:rPr>
                <w:b/>
              </w:rPr>
              <w:t xml:space="preserve">Відмітка про засвідчення копії документа складається з таких елементів: слів </w:t>
            </w:r>
            <w:r w:rsidRPr="00431F7D">
              <w:rPr>
                <w:b/>
                <w:u w:val="single"/>
              </w:rPr>
              <w:t>«Згідно з оригіналом»</w:t>
            </w:r>
            <w:r w:rsidRPr="00431F7D">
              <w:rPr>
                <w:b/>
              </w:rPr>
              <w:t xml:space="preserve"> (без лапок), </w:t>
            </w:r>
            <w:r w:rsidRPr="00431F7D">
              <w:rPr>
                <w:b/>
                <w:u w:val="single"/>
              </w:rPr>
              <w:t>найменування посади</w:t>
            </w:r>
            <w:r w:rsidRPr="00431F7D">
              <w:rPr>
                <w:b/>
              </w:rPr>
              <w:t xml:space="preserve">, </w:t>
            </w:r>
            <w:r w:rsidRPr="00431F7D">
              <w:rPr>
                <w:b/>
                <w:u w:val="single"/>
              </w:rPr>
              <w:t>особистого підпису особи</w:t>
            </w:r>
            <w:r w:rsidRPr="00431F7D">
              <w:rPr>
                <w:b/>
              </w:rPr>
              <w:t xml:space="preserve">, яка засвідчує копію, </w:t>
            </w:r>
            <w:r w:rsidRPr="00431F7D">
              <w:rPr>
                <w:b/>
                <w:u w:val="single"/>
              </w:rPr>
              <w:t>її власного імені та прізвища</w:t>
            </w:r>
            <w:r w:rsidRPr="00431F7D">
              <w:rPr>
                <w:b/>
              </w:rPr>
              <w:t xml:space="preserve">, </w:t>
            </w:r>
            <w:r w:rsidRPr="00431F7D">
              <w:rPr>
                <w:b/>
                <w:u w:val="single"/>
              </w:rPr>
              <w:t>дати засвідчення копії</w:t>
            </w:r>
            <w:r w:rsidRPr="00431F7D">
              <w:rPr>
                <w:b/>
              </w:rPr>
              <w:t>.</w:t>
            </w:r>
            <w:r w:rsidRPr="00431F7D">
              <w:t xml:space="preserve"> У випадках, визначених законодавством, копії документів засвідчують відбитком печатки юридичної особи, структурного підрозділу (служби діловодства, служби кадрів, бухгалтерії тощо) юридичної особи або печатки «Для копій») </w:t>
            </w:r>
            <w:r w:rsidRPr="00431F7D">
              <w:rPr>
                <w:rStyle w:val="a3"/>
                <w:bCs w:val="0"/>
                <w:color w:val="1F1F1F"/>
                <w:u w:val="single"/>
                <w:shd w:val="clear" w:color="auto" w:fill="FFFFFF"/>
              </w:rPr>
              <w:t xml:space="preserve">Дата </w:t>
            </w:r>
            <w:r w:rsidRPr="00431F7D">
              <w:rPr>
                <w:rStyle w:val="a3"/>
                <w:bCs w:val="0"/>
                <w:color w:val="1F1F1F"/>
                <w:u w:val="single"/>
                <w:shd w:val="clear" w:color="auto" w:fill="FFFFFF"/>
              </w:rPr>
              <w:lastRenderedPageBreak/>
              <w:t xml:space="preserve">засвідчення копій не повинна бути </w:t>
            </w:r>
            <w:proofErr w:type="spellStart"/>
            <w:r w:rsidRPr="00431F7D">
              <w:rPr>
                <w:rStyle w:val="a3"/>
                <w:bCs w:val="0"/>
                <w:color w:val="1F1F1F"/>
                <w:u w:val="single"/>
                <w:shd w:val="clear" w:color="auto" w:fill="FFFFFF"/>
              </w:rPr>
              <w:t>ранішою</w:t>
            </w:r>
            <w:proofErr w:type="spellEnd"/>
            <w:r w:rsidRPr="00431F7D">
              <w:rPr>
                <w:rStyle w:val="a3"/>
                <w:bCs w:val="0"/>
                <w:color w:val="1F1F1F"/>
                <w:u w:val="single"/>
                <w:shd w:val="clear" w:color="auto" w:fill="FFFFFF"/>
              </w:rPr>
              <w:t xml:space="preserve"> ніж дата оприлюднення оголошення про закупівлю. </w:t>
            </w:r>
          </w:p>
          <w:p w:rsidR="006E6DE0" w:rsidRPr="00431F7D" w:rsidRDefault="006E6DE0" w:rsidP="00390C0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6E6DE0" w:rsidRDefault="006E6DE0" w:rsidP="00390C0C">
            <w:pPr>
              <w:ind w:firstLine="369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431F7D">
              <w:rPr>
                <w:i/>
                <w:color w:val="000000" w:themeColor="text1"/>
                <w:shd w:val="clear" w:color="auto" w:fill="FFFFFF"/>
              </w:rPr>
      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      </w:r>
          </w:p>
          <w:p w:rsidR="006E6DE0" w:rsidRDefault="006E6DE0" w:rsidP="00390C0C">
            <w:pPr>
              <w:ind w:firstLine="369"/>
              <w:jc w:val="both"/>
              <w:rPr>
                <w:i/>
                <w:color w:val="000000" w:themeColor="text1"/>
                <w:shd w:val="clear" w:color="auto" w:fill="FFFFFF"/>
              </w:rPr>
            </w:pPr>
          </w:p>
          <w:p w:rsidR="006E6DE0" w:rsidRPr="00D57FF7" w:rsidRDefault="006E6DE0" w:rsidP="00390C0C">
            <w:pPr>
              <w:ind w:firstLine="369"/>
              <w:jc w:val="both"/>
              <w:rPr>
                <w:b/>
                <w:color w:val="1F1F1F"/>
                <w:u w:val="single"/>
                <w:shd w:val="clear" w:color="auto" w:fill="FFFFFF"/>
              </w:rPr>
            </w:pPr>
          </w:p>
        </w:tc>
      </w:tr>
    </w:tbl>
    <w:p w:rsidR="006E6DE0" w:rsidRDefault="006E6DE0" w:rsidP="006E6DE0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br w:type="page"/>
      </w:r>
    </w:p>
    <w:tbl>
      <w:tblPr>
        <w:tblStyle w:val="a8"/>
        <w:tblW w:w="10449" w:type="dxa"/>
        <w:tblInd w:w="-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6E6DE0" w:rsidRPr="00916568" w:rsidTr="00390C0C">
        <w:tc>
          <w:tcPr>
            <w:tcW w:w="10449" w:type="dxa"/>
          </w:tcPr>
          <w:p w:rsidR="006E6DE0" w:rsidRPr="00916568" w:rsidRDefault="006E6DE0" w:rsidP="006E6DE0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</w:rPr>
            </w:pPr>
            <w:r w:rsidRPr="00916568">
              <w:rPr>
                <w:b/>
                <w:bCs/>
              </w:rPr>
              <w:lastRenderedPageBreak/>
              <w:t>Вимоги до учасників та переможця щодо підтвердження відсутності підстав для відмови в участі у відкритих торгах:</w:t>
            </w:r>
          </w:p>
          <w:tbl>
            <w:tblPr>
              <w:tblW w:w="10052" w:type="dxa"/>
              <w:tblLook w:val="04A0" w:firstRow="1" w:lastRow="0" w:firstColumn="1" w:lastColumn="0" w:noHBand="0" w:noVBand="1"/>
            </w:tblPr>
            <w:tblGrid>
              <w:gridCol w:w="501"/>
              <w:gridCol w:w="3371"/>
              <w:gridCol w:w="3059"/>
              <w:gridCol w:w="3121"/>
            </w:tblGrid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DE0" w:rsidRPr="00916568" w:rsidRDefault="006E6DE0" w:rsidP="00390C0C">
                  <w:pPr>
                    <w:jc w:val="center"/>
                  </w:pPr>
                  <w:r w:rsidRPr="00916568">
                    <w:rPr>
                      <w:b/>
                      <w:bCs/>
                    </w:rPr>
                    <w:t>№ з/п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DE0" w:rsidRPr="00916568" w:rsidRDefault="006E6DE0" w:rsidP="00390C0C">
                  <w:pPr>
                    <w:jc w:val="center"/>
                  </w:pPr>
                  <w:r w:rsidRPr="00916568">
                    <w:rPr>
                      <w:b/>
                      <w:bCs/>
                    </w:rPr>
                    <w:t>Підстави для відмови в участі у процедурі закупівлі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6DE0" w:rsidRPr="00916568" w:rsidRDefault="006E6DE0" w:rsidP="00390C0C">
                  <w:pPr>
                    <w:jc w:val="center"/>
                    <w:rPr>
                      <w:b/>
                      <w:bCs/>
                    </w:rPr>
                  </w:pPr>
                  <w:r w:rsidRPr="00916568">
                    <w:rPr>
                      <w:b/>
                      <w:bCs/>
                    </w:rPr>
                    <w:t>Учасник процедури закупівлі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DE0" w:rsidRPr="00916568" w:rsidRDefault="006E6DE0" w:rsidP="00390C0C">
                  <w:pPr>
                    <w:jc w:val="center"/>
                  </w:pPr>
                  <w:r w:rsidRPr="00916568">
                    <w:rPr>
                      <w:b/>
                      <w:bCs/>
                    </w:rPr>
                    <w:t xml:space="preserve">Переможець у строк, що не </w:t>
                  </w:r>
                  <w:r w:rsidRPr="00916568">
                    <w:rPr>
                      <w:b/>
                      <w:bCs/>
                      <w:u w:val="single"/>
                    </w:rPr>
                    <w:t>перевищує чотири дні</w:t>
                  </w:r>
                  <w:r w:rsidRPr="00916568">
                    <w:rPr>
                      <w:b/>
                      <w:bCs/>
                    </w:rPr>
                    <w:t xml:space="preserve">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1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1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2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2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3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3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Замовник перевіряє самостійно у реєстрі осіб, які вчинили корупційні та пов’язані з корупцією правопорушення.</w:t>
                  </w:r>
                </w:p>
                <w:p w:rsidR="006E6DE0" w:rsidRPr="00916568" w:rsidRDefault="006E6DE0" w:rsidP="00390C0C">
                  <w:pPr>
                    <w:jc w:val="both"/>
                  </w:pPr>
                  <w:r w:rsidRPr="00916568">
                    <w:t>*З 04.09.2023 р. Національне агентство з питань запобігання корупції (НАЗК) відкрило</w:t>
                  </w:r>
                </w:p>
                <w:p w:rsidR="006E6DE0" w:rsidRPr="00916568" w:rsidRDefault="006E6DE0" w:rsidP="00390C0C">
                  <w:pPr>
                    <w:jc w:val="both"/>
                  </w:pPr>
                  <w:r w:rsidRPr="00916568">
                    <w:t xml:space="preserve">доступ до Реєстру осіб, які вчинили корупційні та пов’язані з корупцією правопорушення, з урахуванням </w:t>
                  </w:r>
                  <w:proofErr w:type="spellStart"/>
                  <w:r w:rsidRPr="00916568">
                    <w:t>безпекових</w:t>
                  </w:r>
                  <w:proofErr w:type="spellEnd"/>
                  <w:r w:rsidRPr="00916568">
      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      </w:r>
                  <w:r w:rsidRPr="00916568">
                    <w:lastRenderedPageBreak/>
                    <w:t>інформаційна довідка з Єдиного державного реєстру осіб, які вчинили</w:t>
                  </w:r>
                  <w:r>
                    <w:t xml:space="preserve"> </w:t>
                  </w:r>
                  <w:r w:rsidRPr="00916568">
                    <w:t>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</w:t>
                  </w:r>
                  <w:r>
                    <w:t xml:space="preserve"> </w:t>
                  </w:r>
                  <w:r w:rsidRPr="00916568">
                    <w:t>процедури закупівлі,на виконання абзацу 15 пункту 47 Особливостей надається переможцем торгів.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lastRenderedPageBreak/>
                    <w:t>4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  <w:rPr>
                      <w:i/>
                      <w:iCs/>
                    </w:rPr>
                  </w:pPr>
                  <w:r w:rsidRPr="00916568">
                    <w:rPr>
                      <w:shd w:val="clear" w:color="auto" w:fill="FFFFFF"/>
                    </w:rPr>
      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      </w:r>
                  <w:proofErr w:type="spellStart"/>
                  <w:r w:rsidRPr="00916568">
                    <w:rPr>
                      <w:shd w:val="clear" w:color="auto" w:fill="FFFFFF"/>
                    </w:rPr>
                    <w:t>антиконкурентних</w:t>
                  </w:r>
                  <w:proofErr w:type="spellEnd"/>
                  <w:r w:rsidRPr="00916568">
                    <w:rPr>
                      <w:shd w:val="clear" w:color="auto" w:fill="FFFFFF"/>
                    </w:rPr>
                    <w:t xml:space="preserve"> узгоджених дій, що стосуються спотворення результатів тендерів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4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5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5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      </w:r>
                  <w:proofErr w:type="spellStart"/>
                  <w:r w:rsidRPr="00916568">
                    <w:t>незнятої</w:t>
                  </w:r>
                  <w:proofErr w:type="spellEnd"/>
                  <w:r w:rsidRPr="00916568">
                    <w:t xml:space="preserve"> чи непогашеної судимості не має та в розшуку не перебуває/</w:t>
                  </w:r>
                </w:p>
                <w:p w:rsidR="006E6DE0" w:rsidRPr="00916568" w:rsidRDefault="006E6DE0" w:rsidP="00390C0C">
                  <w:pPr>
                    <w:jc w:val="both"/>
                  </w:pPr>
                  <w:r w:rsidRPr="00916568">
                    <w:t>Документ повинен бути виданий/сформований/отриманий в поточному році.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6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(підпункт 6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</w:t>
                  </w:r>
                  <w:proofErr w:type="spellStart"/>
                  <w:r w:rsidRPr="00916568">
                    <w:t>незнятої</w:t>
                  </w:r>
                  <w:proofErr w:type="spellEnd"/>
                  <w:r w:rsidRPr="00916568">
                    <w:t xml:space="preserve"> чи непогашеної судимості не має та в розшуку не перебуває.</w:t>
                  </w:r>
                </w:p>
                <w:p w:rsidR="006E6DE0" w:rsidRPr="00916568" w:rsidRDefault="006E6DE0" w:rsidP="00390C0C">
                  <w:pPr>
                    <w:jc w:val="both"/>
                  </w:pPr>
                  <w:r w:rsidRPr="00916568">
                    <w:t>Документ повинен бути виданий/сформований/отриманий в поточному році.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7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</w:t>
                  </w:r>
                  <w:r w:rsidRPr="00916568">
                    <w:rPr>
                      <w:shd w:val="clear" w:color="auto" w:fill="FFFFFF"/>
                    </w:rPr>
                    <w:lastRenderedPageBreak/>
                    <w:t xml:space="preserve">(особами), та/або з керівником замовника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7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lastRenderedPageBreak/>
      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</w:t>
                  </w:r>
                  <w:r w:rsidRPr="00916568">
                    <w:lastRenderedPageBreak/>
                    <w:t>відсутність в учасника процедури закупівлі такої підстав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lastRenderedPageBreak/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lastRenderedPageBreak/>
                    <w:t>8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8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9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9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10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  <w:rPr>
                      <w:i/>
                      <w:iCs/>
                    </w:rPr>
                  </w:pPr>
                  <w:r w:rsidRPr="00916568">
                    <w:rPr>
                      <w:shd w:val="clear" w:color="auto" w:fill="FFFFFF"/>
                    </w:rPr>
      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10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E6DE0" w:rsidRPr="00916568" w:rsidRDefault="006E6DE0" w:rsidP="00390C0C">
                  <w:pPr>
                    <w:jc w:val="both"/>
                    <w:rPr>
                      <w:i/>
                      <w:iCs/>
                    </w:rPr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i/>
                      <w:iCs/>
                      <w:color w:val="000000"/>
                    </w:rPr>
      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11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 xml:space="preserve">учасник процедури закупівлі або кінцевий </w:t>
                  </w:r>
                  <w:proofErr w:type="spellStart"/>
                  <w:r w:rsidRPr="00916568">
                    <w:t>бенефіціарний</w:t>
                  </w:r>
                  <w:proofErr w:type="spellEnd"/>
                  <w:r w:rsidRPr="00916568">
      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      </w:r>
                  <w:r w:rsidRPr="00916568">
                    <w:rPr>
                      <w:shd w:val="clear" w:color="auto" w:fill="FFFFFF"/>
                    </w:rPr>
                    <w:t xml:space="preserve">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916568">
                    <w:rPr>
                      <w:i/>
                      <w:iCs/>
                    </w:rPr>
                    <w:t>підпункт 11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Переможець не надає підтвердження своєї відповідності.</w:t>
                  </w:r>
                </w:p>
              </w:tc>
            </w:tr>
            <w:tr w:rsidR="006E6DE0" w:rsidRPr="00916568" w:rsidTr="00390C0C">
              <w:trPr>
                <w:trHeight w:val="684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12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rPr>
                      <w:shd w:val="clear" w:color="auto" w:fill="FFFFFF"/>
                    </w:rPr>
      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      </w:r>
                  <w:r w:rsidRPr="00916568">
                    <w:rPr>
                      <w:i/>
                      <w:iCs/>
                      <w:shd w:val="clear" w:color="auto" w:fill="FFFFFF"/>
                    </w:rPr>
                    <w:t>(підпункт 12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DE0" w:rsidRPr="00916568" w:rsidRDefault="006E6DE0" w:rsidP="00390C0C">
                  <w:pPr>
                    <w:jc w:val="both"/>
                  </w:pPr>
                  <w:r w:rsidRPr="00916568">
      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</w:t>
                  </w:r>
                  <w:proofErr w:type="spellStart"/>
                  <w:r w:rsidRPr="00916568">
                    <w:t>незнятої</w:t>
                  </w:r>
                  <w:proofErr w:type="spellEnd"/>
                  <w:r w:rsidRPr="00916568">
                    <w:t xml:space="preserve"> чи непогашеної судимості не має та в розшуку не перебуває.</w:t>
                  </w:r>
                </w:p>
                <w:p w:rsidR="006E6DE0" w:rsidRPr="00916568" w:rsidRDefault="006E6DE0" w:rsidP="00390C0C">
                  <w:pPr>
                    <w:jc w:val="both"/>
                  </w:pPr>
                  <w:r w:rsidRPr="00916568">
                    <w:t xml:space="preserve">Документ повинен бути </w:t>
                  </w:r>
                  <w:r w:rsidRPr="00916568">
                    <w:lastRenderedPageBreak/>
                    <w:t>виданий/сформований/отриманий в поточному році.</w:t>
                  </w:r>
                </w:p>
              </w:tc>
            </w:tr>
          </w:tbl>
          <w:p w:rsidR="006E6DE0" w:rsidRDefault="006E6DE0" w:rsidP="00390C0C">
            <w:pPr>
              <w:ind w:firstLine="709"/>
              <w:jc w:val="both"/>
              <w:rPr>
                <w:lang w:val="ru-RU"/>
              </w:rPr>
            </w:pPr>
          </w:p>
          <w:p w:rsidR="006E6DE0" w:rsidRDefault="006E6DE0" w:rsidP="00390C0C">
            <w:pPr>
              <w:ind w:firstLine="709"/>
              <w:jc w:val="both"/>
              <w:rPr>
                <w:lang w:val="ru-RU"/>
              </w:rPr>
            </w:pPr>
          </w:p>
          <w:p w:rsidR="006E6DE0" w:rsidRDefault="006E6DE0" w:rsidP="00390C0C">
            <w:pPr>
              <w:ind w:firstLine="709"/>
              <w:jc w:val="both"/>
              <w:rPr>
                <w:lang w:val="ru-RU"/>
              </w:rPr>
            </w:pPr>
          </w:p>
          <w:p w:rsidR="006E6DE0" w:rsidRPr="005A3D5F" w:rsidRDefault="006E6DE0" w:rsidP="00390C0C">
            <w:pPr>
              <w:spacing w:after="160"/>
              <w:jc w:val="both"/>
              <w:rPr>
                <w:sz w:val="18"/>
                <w:szCs w:val="24"/>
                <w:lang w:eastAsia="uk-UA"/>
              </w:rPr>
            </w:pPr>
            <w:r w:rsidRPr="005A3D5F">
              <w:rPr>
                <w:color w:val="000000"/>
                <w:sz w:val="18"/>
                <w:szCs w:val="24"/>
                <w:lang w:eastAsia="uk-UA"/>
              </w:rPr>
      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      </w:r>
          </w:p>
          <w:p w:rsidR="006E6DE0" w:rsidRPr="005A3D5F" w:rsidRDefault="006E6DE0" w:rsidP="00390C0C">
            <w:pPr>
              <w:spacing w:after="160"/>
              <w:jc w:val="both"/>
              <w:rPr>
                <w:sz w:val="18"/>
                <w:szCs w:val="24"/>
                <w:lang w:eastAsia="uk-UA"/>
              </w:rPr>
            </w:pPr>
            <w:r w:rsidRPr="005A3D5F">
              <w:rPr>
                <w:color w:val="000000"/>
                <w:sz w:val="18"/>
                <w:szCs w:val="24"/>
                <w:lang w:eastAsia="uk-UA"/>
              </w:rPr>
      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      </w:r>
            <w:proofErr w:type="spellStart"/>
            <w:r w:rsidRPr="005A3D5F">
              <w:rPr>
                <w:color w:val="000000"/>
                <w:sz w:val="18"/>
                <w:szCs w:val="24"/>
                <w:lang w:eastAsia="uk-UA"/>
              </w:rPr>
              <w:t>бенефіціарного</w:t>
            </w:r>
            <w:proofErr w:type="spellEnd"/>
            <w:r w:rsidRPr="005A3D5F">
              <w:rPr>
                <w:color w:val="000000"/>
                <w:sz w:val="18"/>
                <w:szCs w:val="24"/>
                <w:lang w:eastAsia="uk-UA"/>
              </w:rPr>
      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 </w:t>
            </w:r>
          </w:p>
          <w:p w:rsidR="006E6DE0" w:rsidRPr="00CE4BA3" w:rsidRDefault="006E6DE0" w:rsidP="00390C0C">
            <w:pPr>
              <w:spacing w:after="160"/>
              <w:jc w:val="both"/>
              <w:rPr>
                <w:color w:val="000000" w:themeColor="text1"/>
                <w:lang w:eastAsia="uk-UA"/>
              </w:rPr>
            </w:pPr>
            <w:r w:rsidRPr="005A3D5F">
              <w:rPr>
                <w:color w:val="000000"/>
                <w:sz w:val="18"/>
                <w:szCs w:val="24"/>
                <w:lang w:eastAsia="uk-UA"/>
              </w:rPr>
      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      </w:r>
            <w:proofErr w:type="spellStart"/>
            <w:r w:rsidRPr="005A3D5F">
              <w:rPr>
                <w:color w:val="000000"/>
                <w:sz w:val="18"/>
                <w:szCs w:val="24"/>
                <w:lang w:eastAsia="uk-UA"/>
              </w:rPr>
              <w:t>бенефіціарного</w:t>
            </w:r>
            <w:proofErr w:type="spellEnd"/>
            <w:r w:rsidRPr="005A3D5F">
              <w:rPr>
                <w:color w:val="000000"/>
                <w:sz w:val="18"/>
                <w:szCs w:val="24"/>
                <w:lang w:eastAsia="uk-UA"/>
              </w:rPr>
      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</w:t>
            </w:r>
            <w:r w:rsidRPr="00CE4BA3">
              <w:rPr>
                <w:color w:val="000000" w:themeColor="text1"/>
                <w:lang w:eastAsia="uk-UA"/>
              </w:rPr>
              <w:t>від корупційних та інших злочинів.</w:t>
            </w:r>
          </w:p>
          <w:p w:rsidR="006E6DE0" w:rsidRPr="00CE4BA3" w:rsidRDefault="006E6DE0" w:rsidP="00390C0C">
            <w:pPr>
              <w:spacing w:after="160"/>
              <w:jc w:val="both"/>
              <w:rPr>
                <w:color w:val="000000" w:themeColor="text1"/>
                <w:lang w:eastAsia="uk-UA"/>
              </w:rPr>
            </w:pPr>
            <w:r w:rsidRPr="00CE4BA3">
              <w:rPr>
                <w:color w:val="000000" w:themeColor="text1"/>
                <w:lang w:eastAsia="uk-UA"/>
              </w:rPr>
      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      </w:r>
            <w:proofErr w:type="spellStart"/>
            <w:r w:rsidRPr="00CE4BA3">
              <w:rPr>
                <w:color w:val="000000" w:themeColor="text1"/>
                <w:lang w:eastAsia="uk-UA"/>
              </w:rPr>
              <w:t>бенефіціарного</w:t>
            </w:r>
            <w:proofErr w:type="spellEnd"/>
            <w:r w:rsidRPr="00CE4BA3">
              <w:rPr>
                <w:color w:val="000000" w:themeColor="text1"/>
                <w:lang w:eastAsia="uk-UA"/>
              </w:rPr>
      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      </w:r>
          </w:p>
          <w:p w:rsidR="006E6DE0" w:rsidRPr="00CE4BA3" w:rsidRDefault="006E6DE0" w:rsidP="00390C0C">
            <w:pPr>
              <w:spacing w:after="160"/>
              <w:jc w:val="both"/>
              <w:rPr>
                <w:color w:val="000000" w:themeColor="text1"/>
                <w:lang w:eastAsia="uk-UA"/>
              </w:rPr>
            </w:pPr>
            <w:r w:rsidRPr="00CE4BA3">
              <w:rPr>
                <w:color w:val="000000" w:themeColor="text1"/>
                <w:lang w:eastAsia="uk-UA"/>
              </w:rPr>
              <w:t>_______________</w:t>
            </w:r>
          </w:p>
          <w:p w:rsidR="006E6DE0" w:rsidRPr="00CE4BA3" w:rsidRDefault="006E6DE0" w:rsidP="00390C0C">
            <w:pPr>
              <w:spacing w:after="160"/>
              <w:jc w:val="both"/>
              <w:rPr>
                <w:color w:val="000000" w:themeColor="text1"/>
                <w:lang w:eastAsia="uk-UA"/>
              </w:rPr>
            </w:pPr>
            <w:r w:rsidRPr="00CE4BA3">
              <w:rPr>
                <w:color w:val="000000" w:themeColor="text1"/>
                <w:lang w:eastAsia="uk-UA"/>
              </w:rPr>
      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      </w:r>
          </w:p>
          <w:p w:rsidR="006E6DE0" w:rsidRPr="00CE4BA3" w:rsidRDefault="006E6DE0" w:rsidP="00390C0C">
            <w:pPr>
              <w:spacing w:after="160"/>
              <w:jc w:val="both"/>
              <w:rPr>
                <w:color w:val="000000" w:themeColor="text1"/>
                <w:lang w:eastAsia="uk-UA"/>
              </w:rPr>
            </w:pPr>
            <w:r w:rsidRPr="00CE4BA3">
              <w:rPr>
                <w:color w:val="000000" w:themeColor="text1"/>
                <w:lang w:eastAsia="uk-UA"/>
              </w:rPr>
      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      </w:r>
          </w:p>
          <w:p w:rsidR="006E6DE0" w:rsidRPr="00CE4BA3" w:rsidRDefault="006E6DE0" w:rsidP="00390C0C">
            <w:pPr>
              <w:jc w:val="both"/>
              <w:rPr>
                <w:color w:val="000000" w:themeColor="text1"/>
                <w:highlight w:val="white"/>
              </w:rPr>
            </w:pPr>
            <w:r w:rsidRPr="00CE4BA3">
              <w:rPr>
                <w:color w:val="000000" w:themeColor="text1"/>
                <w:highlight w:val="white"/>
              </w:rPr>
              <w:t>.</w:t>
            </w:r>
          </w:p>
          <w:p w:rsidR="006E6DE0" w:rsidRPr="005A3D5F" w:rsidRDefault="006E6DE0" w:rsidP="00390C0C">
            <w:pPr>
              <w:ind w:firstLine="709"/>
              <w:jc w:val="both"/>
              <w:rPr>
                <w:lang w:val="ru-RU"/>
              </w:rPr>
            </w:pPr>
          </w:p>
          <w:p w:rsidR="006E6DE0" w:rsidRDefault="006E6DE0" w:rsidP="00390C0C">
            <w:pPr>
              <w:ind w:firstLine="709"/>
              <w:jc w:val="both"/>
              <w:rPr>
                <w:lang w:val="ru-RU"/>
              </w:rPr>
            </w:pPr>
          </w:p>
          <w:p w:rsidR="006E6DE0" w:rsidRPr="005A3D5F" w:rsidRDefault="006E6DE0" w:rsidP="00390C0C">
            <w:pPr>
              <w:ind w:firstLine="709"/>
              <w:jc w:val="both"/>
              <w:rPr>
                <w:lang w:val="ru-RU"/>
              </w:rPr>
            </w:pPr>
          </w:p>
        </w:tc>
      </w:tr>
    </w:tbl>
    <w:p w:rsidR="006E6DE0" w:rsidRPr="00916568" w:rsidRDefault="006E6DE0" w:rsidP="006E6DE0">
      <w:pPr>
        <w:numPr>
          <w:ilvl w:val="0"/>
          <w:numId w:val="1"/>
        </w:numPr>
        <w:ind w:left="0" w:firstLine="0"/>
        <w:jc w:val="both"/>
        <w:rPr>
          <w:b/>
          <w:color w:val="000000"/>
        </w:rPr>
      </w:pPr>
      <w:r w:rsidRPr="00916568">
        <w:rPr>
          <w:b/>
          <w:color w:val="000000"/>
        </w:rPr>
        <w:lastRenderedPageBreak/>
        <w:t>Інші вимоги до учасників (для Учасників — юридичних осіб, фізичних осіб та фізичних осіб — підприємців).</w:t>
      </w:r>
    </w:p>
    <w:tbl>
      <w:tblPr>
        <w:tblW w:w="10207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568"/>
        <w:gridCol w:w="9639"/>
      </w:tblGrid>
      <w:tr w:rsidR="006E6DE0" w:rsidRPr="00916568" w:rsidTr="00390C0C">
        <w:trPr>
          <w:trHeight w:val="3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DE0" w:rsidRPr="00916568" w:rsidRDefault="006E6DE0" w:rsidP="00390C0C">
            <w:pPr>
              <w:jc w:val="center"/>
              <w:rPr>
                <w:bCs/>
                <w:color w:val="000000"/>
              </w:rPr>
            </w:pPr>
            <w:r w:rsidRPr="00916568">
              <w:rPr>
                <w:b/>
                <w:bCs/>
              </w:rPr>
              <w:t>№ з/п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DE0" w:rsidRPr="00916568" w:rsidRDefault="006E6DE0" w:rsidP="00390C0C">
            <w:pPr>
              <w:jc w:val="center"/>
              <w:rPr>
                <w:color w:val="000000"/>
              </w:rPr>
            </w:pPr>
            <w:r w:rsidRPr="00916568">
              <w:rPr>
                <w:b/>
                <w:color w:val="000000"/>
              </w:rPr>
              <w:t>Інші документи від Учасника:</w:t>
            </w:r>
          </w:p>
        </w:tc>
      </w:tr>
      <w:tr w:rsidR="006E6DE0" w:rsidRPr="00916568" w:rsidTr="00390C0C">
        <w:trPr>
          <w:trHeight w:val="7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916568" w:rsidRDefault="006E6DE0" w:rsidP="00390C0C">
            <w:pPr>
              <w:jc w:val="center"/>
              <w:rPr>
                <w:bCs/>
              </w:rPr>
            </w:pPr>
            <w:r w:rsidRPr="00916568">
              <w:rPr>
                <w:bCs/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916568" w:rsidRDefault="006E6DE0" w:rsidP="00390C0C">
            <w:pPr>
              <w:jc w:val="both"/>
              <w:rPr>
                <w:color w:val="000000"/>
              </w:rPr>
            </w:pPr>
            <w:r w:rsidRPr="00916568">
              <w:rPr>
                <w:color w:val="000000"/>
              </w:rPr>
              <w:t>Якщо тендерна пропозиція подається не керівником учасника, зазначеним в Єдиному державному реєстрі юридичних осіб, фізичних осіб-підприємців та громадських формувань, а  іншою особою, учасник надає довіреність або доручення на таку особу.</w:t>
            </w:r>
          </w:p>
        </w:tc>
      </w:tr>
      <w:tr w:rsidR="006E6DE0" w:rsidRPr="00916568" w:rsidTr="004D1C7A">
        <w:trPr>
          <w:trHeight w:val="4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916568" w:rsidRDefault="006E6DE0" w:rsidP="00390C0C">
            <w:pPr>
              <w:jc w:val="center"/>
              <w:rPr>
                <w:bCs/>
              </w:rPr>
            </w:pPr>
            <w:r w:rsidRPr="00916568">
              <w:rPr>
                <w:bCs/>
                <w:color w:val="000000"/>
              </w:rPr>
              <w:t>2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916568" w:rsidRDefault="006E6DE0" w:rsidP="00390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6568">
              <w:t>Довідка у довільній формі, яка містить відомості про Учасника*</w:t>
            </w:r>
            <w:r w:rsidRPr="00916568">
              <w:rPr>
                <w:b/>
              </w:rPr>
              <w:t xml:space="preserve">: </w:t>
            </w:r>
          </w:p>
          <w:p w:rsidR="006E6DE0" w:rsidRPr="00916568" w:rsidRDefault="006E6DE0" w:rsidP="006E6DE0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16568">
              <w:t xml:space="preserve">код ЄДРПОУ/ІПН Учасника, </w:t>
            </w:r>
          </w:p>
          <w:p w:rsidR="006E6DE0" w:rsidRPr="00916568" w:rsidRDefault="006E6DE0" w:rsidP="006E6DE0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16568">
              <w:t>керівництво (посада, прізвище, ім’я, по батькові);</w:t>
            </w:r>
          </w:p>
          <w:p w:rsidR="006E6DE0" w:rsidRPr="00916568" w:rsidRDefault="006E6DE0" w:rsidP="006E6DE0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16568">
              <w:t>місцезнаходження Учасника,</w:t>
            </w:r>
          </w:p>
          <w:p w:rsidR="006E6DE0" w:rsidRPr="00916568" w:rsidRDefault="006E6DE0" w:rsidP="006E6DE0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16568">
              <w:t>телефон/факс, електронна адреса,</w:t>
            </w:r>
          </w:p>
          <w:p w:rsidR="006E6DE0" w:rsidRPr="00916568" w:rsidRDefault="006E6DE0" w:rsidP="006E6DE0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16568">
              <w:t>банківські реквізити.</w:t>
            </w:r>
          </w:p>
          <w:p w:rsidR="006E6DE0" w:rsidRPr="00916568" w:rsidRDefault="006E6DE0" w:rsidP="00390C0C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916568">
              <w:rPr>
                <w:i/>
              </w:rPr>
              <w:lastRenderedPageBreak/>
              <w:t>(додатково може містити відомості які учасник вважає необхідним зазначити)</w:t>
            </w:r>
          </w:p>
        </w:tc>
      </w:tr>
      <w:tr w:rsidR="006E6DE0" w:rsidRPr="00916568" w:rsidTr="00390C0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916568" w:rsidRDefault="006E6DE0" w:rsidP="00390C0C">
            <w:pPr>
              <w:jc w:val="center"/>
              <w:rPr>
                <w:bCs/>
                <w:color w:val="000000"/>
              </w:rPr>
            </w:pPr>
            <w:r w:rsidRPr="00916568">
              <w:rPr>
                <w:bCs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89435F" w:rsidRDefault="006E6DE0" w:rsidP="00390C0C">
            <w:pPr>
              <w:tabs>
                <w:tab w:val="left" w:pos="475"/>
              </w:tabs>
              <w:jc w:val="both"/>
            </w:pPr>
            <w:r w:rsidRPr="0089435F">
              <w:t>Ліцензія або документ дозвільного характеру, якщо отримання такого дозволу або ліцензії передбачено законодавством*. (документ надається у вигляді сканованої копії з оригіналу документа/або його копії завіреної Учасником належним чином).</w:t>
            </w:r>
          </w:p>
          <w:p w:rsidR="006E6DE0" w:rsidRPr="0089435F" w:rsidRDefault="006E6DE0" w:rsidP="00390C0C">
            <w:pPr>
              <w:tabs>
                <w:tab w:val="left" w:pos="475"/>
              </w:tabs>
              <w:jc w:val="both"/>
              <w:rPr>
                <w:i/>
              </w:rPr>
            </w:pPr>
            <w:r w:rsidRPr="0089435F">
              <w:rPr>
                <w:i/>
              </w:rPr>
              <w:t>*Якщо вид діяльності не передбачає отримання ліцензії чи іншого дозвільного документу, то Виконавцю не потрібно надавати ніякого документу.</w:t>
            </w:r>
          </w:p>
        </w:tc>
      </w:tr>
      <w:tr w:rsidR="006E6DE0" w:rsidRPr="00916568" w:rsidTr="00390C0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916568" w:rsidRDefault="006E6DE0" w:rsidP="00390C0C">
            <w:pPr>
              <w:jc w:val="center"/>
              <w:rPr>
                <w:bCs/>
                <w:color w:val="000000"/>
              </w:rPr>
            </w:pPr>
            <w:r w:rsidRPr="00916568">
              <w:rPr>
                <w:bCs/>
                <w:color w:val="000000"/>
              </w:rPr>
              <w:t>4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89435F" w:rsidRDefault="006E6DE0" w:rsidP="00390C0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 або інший установчий документ з останніми змінами (у разі їх використання) або у діючий редакції (документ надається у вигляді сканованої копії з оригіналу документа/або його копії завіреної Учасником*)/або код доступу до сканованої копії установчого документу Учасника на офіційному сайті Міністерства юстиції України, надається у разі відкриття доступу до державних реєстрів (станом на оголошення закупівлі державні реєстри не працюють).</w:t>
            </w:r>
          </w:p>
          <w:p w:rsidR="006E6DE0" w:rsidRPr="0089435F" w:rsidRDefault="006E6DE0" w:rsidP="00390C0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E6DE0" w:rsidRPr="0089435F" w:rsidRDefault="006E6DE0" w:rsidP="00390C0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Arial"/>
                <w:color w:val="000000"/>
              </w:rPr>
            </w:pPr>
            <w:r w:rsidRPr="0089435F">
              <w:rPr>
                <w:rFonts w:eastAsia="Arial"/>
                <w:color w:val="000000"/>
              </w:rPr>
              <w:t>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 (вимога стосується учасника – юридичної особи).</w:t>
            </w:r>
          </w:p>
        </w:tc>
      </w:tr>
      <w:tr w:rsidR="006E6DE0" w:rsidRPr="00916568" w:rsidTr="00390C0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Default="006E6DE0" w:rsidP="00390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89435F" w:rsidRDefault="006E6DE0" w:rsidP="00390C0C">
            <w:pPr>
              <w:widowControl w:val="0"/>
              <w:tabs>
                <w:tab w:val="left" w:pos="8528"/>
              </w:tabs>
              <w:jc w:val="both"/>
              <w:rPr>
                <w:iCs/>
                <w:color w:val="000000"/>
                <w:lang w:eastAsia="uk-UA"/>
              </w:rPr>
            </w:pPr>
            <w:r w:rsidRPr="0089435F">
              <w:rPr>
                <w:iCs/>
                <w:color w:val="000000"/>
                <w:lang w:eastAsia="uk-UA"/>
              </w:rPr>
              <w:t xml:space="preserve">Лист-згоду у довільній формі про </w:t>
            </w:r>
            <w:r>
              <w:rPr>
                <w:iCs/>
                <w:color w:val="000000"/>
                <w:lang w:eastAsia="uk-UA"/>
              </w:rPr>
              <w:t xml:space="preserve">згоду з усіма умовами проекту </w:t>
            </w:r>
            <w:r w:rsidRPr="0089435F">
              <w:rPr>
                <w:iCs/>
                <w:color w:val="000000"/>
                <w:lang w:eastAsia="uk-UA"/>
              </w:rPr>
              <w:t xml:space="preserve">договору що міститься у </w:t>
            </w:r>
            <w:r w:rsidRPr="0089435F">
              <w:rPr>
                <w:b/>
                <w:iCs/>
                <w:color w:val="000000"/>
                <w:lang w:eastAsia="uk-UA"/>
              </w:rPr>
              <w:t>Додатку №3</w:t>
            </w:r>
            <w:r w:rsidRPr="0089435F">
              <w:rPr>
                <w:iCs/>
                <w:color w:val="000000"/>
                <w:lang w:eastAsia="uk-UA"/>
              </w:rPr>
              <w:t xml:space="preserve"> до тендерної документації.</w:t>
            </w:r>
          </w:p>
        </w:tc>
      </w:tr>
      <w:tr w:rsidR="006E6DE0" w:rsidRPr="00916568" w:rsidTr="00390C0C">
        <w:trPr>
          <w:trHeight w:val="4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B710DA" w:rsidRDefault="006E6DE0" w:rsidP="00390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89435F" w:rsidRDefault="006E6DE0" w:rsidP="00390C0C">
            <w:pPr>
              <w:jc w:val="both"/>
              <w:rPr>
                <w:iCs/>
                <w:color w:val="000000"/>
                <w:lang w:eastAsia="uk-UA"/>
              </w:rPr>
            </w:pPr>
            <w:r w:rsidRPr="0089435F">
              <w:rPr>
                <w:color w:val="000000" w:themeColor="text1"/>
                <w:shd w:val="clear" w:color="auto" w:fill="FFFFFF"/>
              </w:rPr>
              <w:t>Заповнена</w:t>
            </w:r>
            <w:r w:rsidRPr="0089435F">
              <w:rPr>
                <w:color w:val="000000" w:themeColor="text1"/>
                <w:shd w:val="clear" w:color="auto" w:fill="FFFFFF"/>
                <w:lang w:val="ru-RU"/>
              </w:rPr>
              <w:t xml:space="preserve"> форма</w:t>
            </w:r>
            <w:r w:rsidRPr="0089435F">
              <w:rPr>
                <w:color w:val="000000" w:themeColor="text1"/>
                <w:shd w:val="clear" w:color="auto" w:fill="FFFFFF"/>
              </w:rPr>
              <w:t xml:space="preserve"> </w:t>
            </w:r>
            <w:r w:rsidRPr="0089435F">
              <w:rPr>
                <w:color w:val="000000" w:themeColor="text1"/>
                <w:shd w:val="clear" w:color="auto" w:fill="FFFFFF"/>
                <w:lang w:val="en-US"/>
              </w:rPr>
              <w:t>“</w:t>
            </w:r>
            <w:r w:rsidRPr="0089435F">
              <w:rPr>
                <w:color w:val="000000" w:themeColor="text1"/>
                <w:shd w:val="clear" w:color="auto" w:fill="FFFFFF"/>
                <w:lang w:val="ru-RU"/>
              </w:rPr>
              <w:t>Т</w:t>
            </w:r>
            <w:proofErr w:type="spellStart"/>
            <w:r w:rsidRPr="0089435F">
              <w:rPr>
                <w:color w:val="000000" w:themeColor="text1"/>
                <w:shd w:val="clear" w:color="auto" w:fill="FFFFFF"/>
              </w:rPr>
              <w:t>аблиця</w:t>
            </w:r>
            <w:proofErr w:type="spellEnd"/>
            <w:r w:rsidRPr="0089435F">
              <w:rPr>
                <w:color w:val="000000" w:themeColor="text1"/>
                <w:shd w:val="clear" w:color="auto" w:fill="FFFFFF"/>
              </w:rPr>
              <w:t xml:space="preserve"> відповідності</w:t>
            </w:r>
            <w:r w:rsidRPr="0089435F">
              <w:rPr>
                <w:color w:val="000000" w:themeColor="text1"/>
                <w:shd w:val="clear" w:color="auto" w:fill="FFFFFF"/>
                <w:lang w:val="en-US"/>
              </w:rPr>
              <w:t xml:space="preserve">” </w:t>
            </w:r>
            <w:r w:rsidRPr="0089435F">
              <w:rPr>
                <w:color w:val="000000" w:themeColor="text1"/>
                <w:shd w:val="clear" w:color="auto" w:fill="FFFFFF"/>
              </w:rPr>
              <w:t xml:space="preserve"> (</w:t>
            </w:r>
            <w:r w:rsidRPr="0089435F">
              <w:rPr>
                <w:b/>
                <w:color w:val="000000" w:themeColor="text1"/>
                <w:shd w:val="clear" w:color="auto" w:fill="FFFFFF"/>
              </w:rPr>
              <w:t>Додаток №4</w:t>
            </w:r>
            <w:r w:rsidRPr="0089435F">
              <w:rPr>
                <w:color w:val="000000" w:themeColor="text1"/>
                <w:shd w:val="clear" w:color="auto" w:fill="FFFFFF"/>
              </w:rPr>
              <w:t xml:space="preserve"> до тендерної документації);</w:t>
            </w:r>
          </w:p>
        </w:tc>
      </w:tr>
      <w:tr w:rsidR="006E6DE0" w:rsidRPr="00916568" w:rsidTr="00390C0C">
        <w:trPr>
          <w:trHeight w:val="2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89435F" w:rsidRDefault="006E6DE0" w:rsidP="00390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89435F" w:rsidRDefault="006E6DE0" w:rsidP="00390C0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9435F">
              <w:t xml:space="preserve">Технічний паспорт на </w:t>
            </w:r>
            <w:r>
              <w:t xml:space="preserve">кожну запропоновану у таблиці відповідності модель товару. </w:t>
            </w:r>
          </w:p>
        </w:tc>
      </w:tr>
      <w:tr w:rsidR="006E6DE0" w:rsidRPr="00916568" w:rsidTr="00390C0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1B4C55" w:rsidRDefault="006E6DE0" w:rsidP="00390C0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DE0" w:rsidRPr="0089435F" w:rsidRDefault="006E6DE0" w:rsidP="00390C0C">
            <w:pPr>
              <w:jc w:val="both"/>
            </w:pPr>
            <w:r w:rsidRPr="0089435F">
              <w:t xml:space="preserve">У разі якщо учасник або його кінцевий </w:t>
            </w:r>
            <w:proofErr w:type="spellStart"/>
            <w:r w:rsidRPr="0089435F">
              <w:t>бенефіціарний</w:t>
            </w:r>
            <w:proofErr w:type="spellEnd"/>
            <w:r w:rsidRPr="0089435F"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Білорусь/Ісламської Республіки Іран 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6E6DE0" w:rsidRPr="0089435F" w:rsidRDefault="006E6DE0" w:rsidP="006E6DE0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89435F"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6E6DE0" w:rsidRPr="0089435F" w:rsidRDefault="006E6DE0" w:rsidP="00390C0C">
            <w:pPr>
              <w:jc w:val="both"/>
              <w:rPr>
                <w:i/>
              </w:rPr>
            </w:pPr>
            <w:r w:rsidRPr="0089435F">
              <w:rPr>
                <w:i/>
              </w:rPr>
              <w:t xml:space="preserve">або </w:t>
            </w:r>
          </w:p>
          <w:p w:rsidR="006E6DE0" w:rsidRPr="0089435F" w:rsidRDefault="006E6DE0" w:rsidP="006E6DE0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9435F">
              <w:t>посвідчення біженця чи документ, що підтверджує надання притулку в Україні,</w:t>
            </w:r>
          </w:p>
          <w:p w:rsidR="006E6DE0" w:rsidRPr="0089435F" w:rsidRDefault="006E6DE0" w:rsidP="00390C0C">
            <w:pPr>
              <w:jc w:val="both"/>
              <w:rPr>
                <w:i/>
              </w:rPr>
            </w:pPr>
            <w:r w:rsidRPr="0089435F">
              <w:rPr>
                <w:i/>
              </w:rPr>
              <w:t>або</w:t>
            </w:r>
          </w:p>
          <w:p w:rsidR="006E6DE0" w:rsidRPr="0089435F" w:rsidRDefault="006E6DE0" w:rsidP="006E6DE0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89435F">
              <w:t xml:space="preserve"> посвідчення особи, яка потребує додаткового захисту в Україні,</w:t>
            </w:r>
          </w:p>
          <w:p w:rsidR="006E6DE0" w:rsidRPr="0089435F" w:rsidRDefault="006E6DE0" w:rsidP="00390C0C">
            <w:pPr>
              <w:jc w:val="both"/>
              <w:rPr>
                <w:i/>
              </w:rPr>
            </w:pPr>
            <w:r w:rsidRPr="0089435F">
              <w:rPr>
                <w:i/>
              </w:rPr>
              <w:t>або</w:t>
            </w:r>
          </w:p>
          <w:p w:rsidR="006E6DE0" w:rsidRPr="0089435F" w:rsidRDefault="006E6DE0" w:rsidP="006E6DE0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89435F">
              <w:t>посвідчення особи, якій надано тимчасовий захист в Україні,</w:t>
            </w:r>
          </w:p>
          <w:p w:rsidR="006E6DE0" w:rsidRPr="0089435F" w:rsidRDefault="006E6DE0" w:rsidP="00390C0C">
            <w:pPr>
              <w:shd w:val="clear" w:color="auto" w:fill="FFFFFF"/>
              <w:jc w:val="both"/>
              <w:rPr>
                <w:i/>
              </w:rPr>
            </w:pPr>
            <w:r w:rsidRPr="0089435F">
              <w:rPr>
                <w:i/>
              </w:rPr>
              <w:t>або</w:t>
            </w:r>
          </w:p>
          <w:p w:rsidR="006E6DE0" w:rsidRPr="0089435F" w:rsidRDefault="006E6DE0" w:rsidP="006E6DE0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89435F"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6E6DE0" w:rsidRPr="00916568" w:rsidRDefault="006E6DE0" w:rsidP="006E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i/>
        </w:rPr>
      </w:pPr>
    </w:p>
    <w:p w:rsidR="006E6DE0" w:rsidRPr="00916568" w:rsidRDefault="006E6DE0" w:rsidP="006E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lang w:eastAsia="ar-SA"/>
        </w:rPr>
      </w:pPr>
      <w:r w:rsidRPr="00916568">
        <w:t>У разі закінчення дії дозвільних документів (свідоцтв, сертифікатів, дозволів тощо)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0448FD" w:rsidRPr="000313D2" w:rsidRDefault="004D1C7A" w:rsidP="000313D2">
      <w:bookmarkStart w:id="0" w:name="_GoBack"/>
      <w:bookmarkEnd w:id="0"/>
    </w:p>
    <w:sectPr w:rsidR="000448FD" w:rsidRPr="000313D2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AB" w:rsidRDefault="00FC085B">
      <w:r>
        <w:separator/>
      </w:r>
    </w:p>
  </w:endnote>
  <w:endnote w:type="continuationSeparator" w:id="0">
    <w:p w:rsidR="006F28AB" w:rsidRDefault="00F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80091"/>
      <w:docPartObj>
        <w:docPartGallery w:val="Page Numbers (Bottom of Page)"/>
        <w:docPartUnique/>
      </w:docPartObj>
    </w:sdtPr>
    <w:sdtEndPr/>
    <w:sdtContent>
      <w:p w:rsidR="00BC7C45" w:rsidRDefault="00BC7C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7A" w:rsidRPr="004D1C7A">
          <w:rPr>
            <w:noProof/>
            <w:lang w:val="ru-RU"/>
          </w:rPr>
          <w:t>6</w:t>
        </w:r>
        <w:r>
          <w:fldChar w:fldCharType="end"/>
        </w:r>
      </w:p>
    </w:sdtContent>
  </w:sdt>
  <w:p w:rsidR="00BC7C45" w:rsidRPr="008277ED" w:rsidRDefault="00BC7C45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AB" w:rsidRDefault="00FC085B">
      <w:r>
        <w:separator/>
      </w:r>
    </w:p>
  </w:footnote>
  <w:footnote w:type="continuationSeparator" w:id="0">
    <w:p w:rsidR="006F28AB" w:rsidRDefault="00FC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45" w:rsidRDefault="00BC7C45">
    <w:pPr>
      <w:pStyle w:val="a9"/>
    </w:pPr>
  </w:p>
  <w:p w:rsidR="00BC7C45" w:rsidRDefault="00BC7C45">
    <w:pPr>
      <w:pStyle w:val="a9"/>
    </w:pPr>
  </w:p>
  <w:p w:rsidR="00BC7C45" w:rsidRPr="00B92D4C" w:rsidRDefault="00BC7C45" w:rsidP="00BA5F0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7BD"/>
    <w:multiLevelType w:val="hybridMultilevel"/>
    <w:tmpl w:val="AF7A73DE"/>
    <w:lvl w:ilvl="0" w:tplc="DB340E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3A4D"/>
    <w:multiLevelType w:val="multilevel"/>
    <w:tmpl w:val="0422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28" w:hanging="432"/>
      </w:p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abstractNum w:abstractNumId="2">
    <w:nsid w:val="4951704C"/>
    <w:multiLevelType w:val="multilevel"/>
    <w:tmpl w:val="AE520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22002C"/>
    <w:multiLevelType w:val="multilevel"/>
    <w:tmpl w:val="A47A7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73C2"/>
    <w:multiLevelType w:val="multilevel"/>
    <w:tmpl w:val="533A5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8756C16"/>
    <w:multiLevelType w:val="multilevel"/>
    <w:tmpl w:val="BBA8D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7"/>
    <w:rsid w:val="00011000"/>
    <w:rsid w:val="000313D2"/>
    <w:rsid w:val="00325554"/>
    <w:rsid w:val="00333537"/>
    <w:rsid w:val="003C44C5"/>
    <w:rsid w:val="004D1C7A"/>
    <w:rsid w:val="005C393B"/>
    <w:rsid w:val="006E6DE0"/>
    <w:rsid w:val="006F28AB"/>
    <w:rsid w:val="0070547A"/>
    <w:rsid w:val="007A2817"/>
    <w:rsid w:val="007D7403"/>
    <w:rsid w:val="009D7F6C"/>
    <w:rsid w:val="00A6488B"/>
    <w:rsid w:val="00AD61A5"/>
    <w:rsid w:val="00BC7C45"/>
    <w:rsid w:val="00D95971"/>
    <w:rsid w:val="00F673C8"/>
    <w:rsid w:val="00F931A4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32555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Strong"/>
    <w:basedOn w:val="a0"/>
    <w:uiPriority w:val="22"/>
    <w:qFormat/>
    <w:rsid w:val="00325554"/>
    <w:rPr>
      <w:b/>
      <w:bCs/>
    </w:rPr>
  </w:style>
  <w:style w:type="paragraph" w:styleId="a4">
    <w:name w:val="Normal (Web)"/>
    <w:aliases w:val="Обычный (Web),Знак17,Знак18 Знак,Знак17 Знак1"/>
    <w:basedOn w:val="a"/>
    <w:link w:val="a5"/>
    <w:uiPriority w:val="99"/>
    <w:qFormat/>
    <w:rsid w:val="003255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Обычный (веб) Знак"/>
    <w:aliases w:val="Обычный (Web) Знак,Знак17 Знак,Знак18 Знак Знак,Знак17 Знак1 Знак,Обычный (Web) Знак1,Знак17 Знак2,Знак18 Знак Знак1,Знак17 Знак1 Знак1"/>
    <w:link w:val="a4"/>
    <w:locked/>
    <w:rsid w:val="00325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C7C4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C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8">
    <w:name w:val="Table Grid"/>
    <w:basedOn w:val="a1"/>
    <w:uiPriority w:val="39"/>
    <w:rsid w:val="00BC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7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7C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BC7C45"/>
    <w:pPr>
      <w:ind w:left="720"/>
      <w:contextualSpacing/>
    </w:p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99"/>
    <w:locked/>
    <w:rsid w:val="00BC7C4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32555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Strong"/>
    <w:basedOn w:val="a0"/>
    <w:uiPriority w:val="22"/>
    <w:qFormat/>
    <w:rsid w:val="00325554"/>
    <w:rPr>
      <w:b/>
      <w:bCs/>
    </w:rPr>
  </w:style>
  <w:style w:type="paragraph" w:styleId="a4">
    <w:name w:val="Normal (Web)"/>
    <w:aliases w:val="Обычный (Web),Знак17,Знак18 Знак,Знак17 Знак1"/>
    <w:basedOn w:val="a"/>
    <w:link w:val="a5"/>
    <w:uiPriority w:val="99"/>
    <w:qFormat/>
    <w:rsid w:val="003255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Обычный (веб) Знак"/>
    <w:aliases w:val="Обычный (Web) Знак,Знак17 Знак,Знак18 Знак Знак,Знак17 Знак1 Знак,Обычный (Web) Знак1,Знак17 Знак2,Знак18 Знак Знак1,Знак17 Знак1 Знак1"/>
    <w:link w:val="a4"/>
    <w:locked/>
    <w:rsid w:val="00325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C7C4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C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8">
    <w:name w:val="Table Grid"/>
    <w:basedOn w:val="a1"/>
    <w:uiPriority w:val="39"/>
    <w:rsid w:val="00BC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7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7C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BC7C45"/>
    <w:pPr>
      <w:ind w:left="720"/>
      <w:contextualSpacing/>
    </w:p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99"/>
    <w:locked/>
    <w:rsid w:val="00BC7C4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12221</Words>
  <Characters>6966</Characters>
  <Application>Microsoft Office Word</Application>
  <DocSecurity>0</DocSecurity>
  <Lines>58</Lines>
  <Paragraphs>38</Paragraphs>
  <ScaleCrop>false</ScaleCrop>
  <Company>Hewlett-Packard Company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buh11</dc:creator>
  <cp:keywords/>
  <dc:description/>
  <cp:lastModifiedBy>Buh8</cp:lastModifiedBy>
  <cp:revision>18</cp:revision>
  <dcterms:created xsi:type="dcterms:W3CDTF">2024-03-06T12:34:00Z</dcterms:created>
  <dcterms:modified xsi:type="dcterms:W3CDTF">2024-04-15T11:22:00Z</dcterms:modified>
</cp:coreProperties>
</file>