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F83F1E">
        <w:rPr>
          <w:b/>
          <w:color w:val="000000"/>
          <w:lang w:val="uk-UA"/>
        </w:rPr>
        <w:t>4</w:t>
      </w:r>
      <w:r w:rsidR="00867393">
        <w:rPr>
          <w:b/>
          <w:color w:val="000000"/>
          <w:lang w:val="uk-UA"/>
        </w:rPr>
        <w:t xml:space="preserve"> зі змінами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>Інформація про відсутність підстав, визначених у статті 17 Закону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rPr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6 підпункту 2 пункту 41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rPr>
          <w:i/>
          <w:sz w:val="20"/>
          <w:szCs w:val="20"/>
          <w:lang w:val="uk-UA"/>
        </w:rPr>
      </w:pPr>
    </w:p>
    <w:p w:rsidR="00563751" w:rsidRDefault="00563751">
      <w:pPr>
        <w:spacing w:line="240" w:lineRule="auto"/>
        <w:rPr>
          <w:i/>
          <w:color w:val="FF0000"/>
          <w:sz w:val="20"/>
          <w:szCs w:val="2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 </w:t>
      </w: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6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DF0DF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7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8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Гарантійний лист, що учасник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узгоджених дій, що стосуються спотворення результатів тендерів, та не визнаний у встановленому законом порядку банкрутом та стосовно нього не відкрита ліквідаційна процедура. </w:t>
            </w:r>
          </w:p>
        </w:tc>
      </w:tr>
      <w:tr w:rsidR="00563751" w:rsidRPr="00867393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234682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tr w:rsidR="00D45737" w:rsidRPr="00867393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737" w:rsidRDefault="00D45737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737" w:rsidRPr="00D45737" w:rsidRDefault="00D45737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sz w:val="22"/>
                <w:szCs w:val="22"/>
                <w:lang w:val="uk-UA"/>
              </w:rPr>
            </w:pPr>
            <w:r w:rsidRPr="00D45737">
              <w:rPr>
                <w:sz w:val="22"/>
                <w:szCs w:val="22"/>
                <w:lang w:val="uk-UA"/>
              </w:rPr>
              <w:t>Інформація в довільній формі щодо того чи службову (посадову) особу учасника,</w:t>
            </w:r>
            <w:r w:rsidRPr="00D45737">
              <w:rPr>
                <w:color w:val="000000"/>
                <w:sz w:val="22"/>
                <w:szCs w:val="22"/>
                <w:lang w:val="uk-UA"/>
              </w:rPr>
              <w:t xml:space="preserve"> яку (яких) уповноважено учасником представляти його інтереси під час проведення процедури закупівлі</w:t>
            </w:r>
            <w:r w:rsidRPr="00D45737">
              <w:rPr>
                <w:sz w:val="22"/>
                <w:szCs w:val="22"/>
                <w:lang w:val="uk-UA"/>
              </w:rPr>
              <w:t xml:space="preserve"> / фізичну особу, яка є учасником (а саме особу (осіб) щодо якої (яких) надаються документи __________________</w:t>
            </w:r>
            <w:r w:rsidRPr="00D45737">
              <w:rPr>
                <w:b/>
                <w:sz w:val="22"/>
                <w:szCs w:val="22"/>
                <w:u w:val="single"/>
                <w:lang w:val="uk-UA"/>
              </w:rPr>
              <w:t xml:space="preserve">(вказати ПІБ особи) </w:t>
            </w:r>
            <w:r w:rsidRPr="00D45737">
              <w:rPr>
                <w:b/>
                <w:sz w:val="22"/>
                <w:szCs w:val="22"/>
                <w:lang w:val="uk-UA"/>
              </w:rPr>
              <w:t>було притягнуто / не було притягнуто</w:t>
            </w:r>
            <w:r w:rsidRPr="00D45737">
              <w:rPr>
                <w:color w:val="000000"/>
                <w:sz w:val="22"/>
                <w:szCs w:val="22"/>
                <w:lang w:val="uk-UA"/>
              </w:rPr>
      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63751">
      <w:pgSz w:w="11906" w:h="16838"/>
      <w:pgMar w:top="39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D3" w:rsidRDefault="006E13D3">
      <w:pPr>
        <w:spacing w:line="240" w:lineRule="auto"/>
      </w:pPr>
      <w:r>
        <w:separator/>
      </w:r>
    </w:p>
  </w:endnote>
  <w:endnote w:type="continuationSeparator" w:id="0">
    <w:p w:rsidR="006E13D3" w:rsidRDefault="006E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D3" w:rsidRDefault="006E13D3">
      <w:r>
        <w:separator/>
      </w:r>
    </w:p>
  </w:footnote>
  <w:footnote w:type="continuationSeparator" w:id="0">
    <w:p w:rsidR="006E13D3" w:rsidRDefault="006E1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541C9"/>
    <w:rsid w:val="000831EE"/>
    <w:rsid w:val="0008458D"/>
    <w:rsid w:val="00090B77"/>
    <w:rsid w:val="000E4C8C"/>
    <w:rsid w:val="000F15AC"/>
    <w:rsid w:val="001010C0"/>
    <w:rsid w:val="00180E54"/>
    <w:rsid w:val="001912B7"/>
    <w:rsid w:val="001C293B"/>
    <w:rsid w:val="00234682"/>
    <w:rsid w:val="002B413F"/>
    <w:rsid w:val="0031502A"/>
    <w:rsid w:val="0033776C"/>
    <w:rsid w:val="00375A39"/>
    <w:rsid w:val="003E3204"/>
    <w:rsid w:val="004512B5"/>
    <w:rsid w:val="004A61E6"/>
    <w:rsid w:val="004F1661"/>
    <w:rsid w:val="00543668"/>
    <w:rsid w:val="00563751"/>
    <w:rsid w:val="00620456"/>
    <w:rsid w:val="006C2BFF"/>
    <w:rsid w:val="006E13D3"/>
    <w:rsid w:val="00776677"/>
    <w:rsid w:val="007C3CC7"/>
    <w:rsid w:val="007D2BD3"/>
    <w:rsid w:val="007E2FB1"/>
    <w:rsid w:val="00802F30"/>
    <w:rsid w:val="00840EBD"/>
    <w:rsid w:val="008507DC"/>
    <w:rsid w:val="00867393"/>
    <w:rsid w:val="00886EBE"/>
    <w:rsid w:val="008B5063"/>
    <w:rsid w:val="008E3CEA"/>
    <w:rsid w:val="009031FC"/>
    <w:rsid w:val="009B2D6F"/>
    <w:rsid w:val="009C75B1"/>
    <w:rsid w:val="00A22A91"/>
    <w:rsid w:val="00A401F5"/>
    <w:rsid w:val="00A7425D"/>
    <w:rsid w:val="00AF7CA8"/>
    <w:rsid w:val="00B00FB4"/>
    <w:rsid w:val="00B0723A"/>
    <w:rsid w:val="00B718F7"/>
    <w:rsid w:val="00BA7B17"/>
    <w:rsid w:val="00BD36A4"/>
    <w:rsid w:val="00C05AC5"/>
    <w:rsid w:val="00C1646C"/>
    <w:rsid w:val="00C16B8D"/>
    <w:rsid w:val="00C971A9"/>
    <w:rsid w:val="00CC58BF"/>
    <w:rsid w:val="00D41A23"/>
    <w:rsid w:val="00D45737"/>
    <w:rsid w:val="00D66EBE"/>
    <w:rsid w:val="00DF0DF1"/>
    <w:rsid w:val="00DF333C"/>
    <w:rsid w:val="00E4370B"/>
    <w:rsid w:val="00F5127A"/>
    <w:rsid w:val="00F80DA6"/>
    <w:rsid w:val="00F83F1E"/>
    <w:rsid w:val="00FC17DE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uptinfo.nazk.gov.ua/reference/getpersonalreference/individu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4274</Words>
  <Characters>2437</Characters>
  <Application>Microsoft Office Word</Application>
  <DocSecurity>0</DocSecurity>
  <Lines>20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19</cp:revision>
  <dcterms:created xsi:type="dcterms:W3CDTF">2022-09-28T10:56:00Z</dcterms:created>
  <dcterms:modified xsi:type="dcterms:W3CDTF">2023-01-24T09:52:00Z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