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Pr>
          <w:rFonts w:ascii="Times New Roman" w:eastAsia="Calibri" w:hAnsi="Times New Roman" w:cs="Times New Roman"/>
          <w:color w:val="000000"/>
          <w:lang w:val="en-US"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proofErr w:type="spellStart"/>
      <w:r w:rsidR="0053496F">
        <w:rPr>
          <w:rFonts w:ascii="Times New Roman" w:eastAsia="Calibri" w:hAnsi="Times New Roman" w:cs="Times New Roman"/>
          <w:b/>
          <w:color w:val="000000"/>
          <w:lang w:val="uk-UA" w:eastAsia="ru-RU"/>
        </w:rPr>
        <w:t>c</w:t>
      </w:r>
      <w:r w:rsidR="0053496F" w:rsidRPr="0053496F">
        <w:rPr>
          <w:rFonts w:ascii="Times New Roman" w:eastAsia="Calibri" w:hAnsi="Times New Roman" w:cs="Times New Roman"/>
          <w:b/>
          <w:color w:val="000000"/>
          <w:lang w:val="uk-UA" w:eastAsia="ru-RU"/>
        </w:rPr>
        <w:t>ік</w:t>
      </w:r>
      <w:proofErr w:type="spellEnd"/>
      <w:r w:rsidR="0053496F" w:rsidRPr="0053496F">
        <w:rPr>
          <w:rFonts w:ascii="Times New Roman" w:eastAsia="Calibri" w:hAnsi="Times New Roman" w:cs="Times New Roman"/>
          <w:b/>
          <w:color w:val="000000"/>
          <w:lang w:val="uk-UA" w:eastAsia="ru-RU"/>
        </w:rPr>
        <w:t xml:space="preserve"> яблучний 100%, відновлений, пастеризований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53496F" w:rsidRPr="0053496F">
        <w:rPr>
          <w:rFonts w:ascii="Times New Roman" w:eastAsia="Calibri" w:hAnsi="Times New Roman" w:cs="Times New Roman"/>
          <w:b/>
          <w:color w:val="000000"/>
          <w:lang w:val="uk-UA" w:eastAsia="ru-RU"/>
        </w:rPr>
        <w:t>Сік яблучний 100%, відновлений, пастеризований</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CB5E8A">
        <w:rPr>
          <w:rFonts w:ascii="Times New Roman" w:eastAsia="Calibri" w:hAnsi="Times New Roman" w:cs="Times New Roman"/>
          <w:b/>
          <w:color w:val="000000"/>
          <w:lang w:val="uk-UA" w:eastAsia="ru-RU"/>
        </w:rPr>
        <w:t>15320000-7</w:t>
      </w:r>
      <w:r w:rsidR="000168AA" w:rsidRPr="000168AA">
        <w:rPr>
          <w:rFonts w:ascii="Times New Roman" w:eastAsia="Calibri" w:hAnsi="Times New Roman" w:cs="Times New Roman"/>
          <w:b/>
          <w:color w:val="000000"/>
          <w:lang w:val="uk-UA" w:eastAsia="ru-RU"/>
        </w:rPr>
        <w:t xml:space="preserve"> – </w:t>
      </w:r>
      <w:r w:rsidR="00CB5E8A">
        <w:rPr>
          <w:rFonts w:ascii="Times New Roman" w:eastAsia="Calibri" w:hAnsi="Times New Roman" w:cs="Times New Roman"/>
          <w:b/>
          <w:color w:val="000000"/>
          <w:lang w:val="uk-UA" w:eastAsia="ru-RU"/>
        </w:rPr>
        <w:t>Фруктові та овочеві соки</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bookmarkStart w:id="0" w:name="_GoBack"/>
      <w:bookmarkEnd w:id="0"/>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53496F"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21263"/>
    <w:rsid w:val="00304891"/>
    <w:rsid w:val="00332DBB"/>
    <w:rsid w:val="003562AB"/>
    <w:rsid w:val="0053496F"/>
    <w:rsid w:val="00745111"/>
    <w:rsid w:val="00753F72"/>
    <w:rsid w:val="00A27F86"/>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B9B6"/>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2022-12-16T10:36:00Z</dcterms:created>
  <dcterms:modified xsi:type="dcterms:W3CDTF">2024-02-28T13:08:00Z</dcterms:modified>
</cp:coreProperties>
</file>