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307FE598"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F45702" w:rsidRPr="00F45702">
        <w:rPr>
          <w:rFonts w:ascii="Times New Roman" w:eastAsia="Times New Roman" w:hAnsi="Times New Roman"/>
          <w:color w:val="000000" w:themeColor="text1"/>
          <w:sz w:val="28"/>
          <w:szCs w:val="28"/>
          <w:lang w:eastAsia="ru-RU"/>
        </w:rPr>
        <w:t xml:space="preserve"> </w:t>
      </w:r>
      <w:r w:rsidR="00F45702">
        <w:rPr>
          <w:rFonts w:ascii="Times New Roman" w:eastAsia="Times New Roman" w:hAnsi="Times New Roman"/>
          <w:color w:val="000000" w:themeColor="text1"/>
          <w:sz w:val="24"/>
          <w:szCs w:val="24"/>
          <w:lang w:eastAsia="ru-RU"/>
        </w:rPr>
        <w:t>Комунальний заклад</w:t>
      </w:r>
      <w:r w:rsidR="00F45702" w:rsidRPr="00F45702">
        <w:rPr>
          <w:rFonts w:ascii="Times New Roman" w:eastAsia="Times New Roman" w:hAnsi="Times New Roman"/>
          <w:color w:val="000000" w:themeColor="text1"/>
          <w:sz w:val="24"/>
          <w:szCs w:val="24"/>
          <w:lang w:eastAsia="ru-RU"/>
        </w:rPr>
        <w:t xml:space="preserve"> загальної середньої освіти «Княгининівський ліцей № 34 Луцької міської ради»</w:t>
      </w:r>
      <w:r w:rsidR="00F45702">
        <w:rPr>
          <w:rFonts w:ascii="Times New Roman" w:eastAsia="Times New Roman" w:hAnsi="Times New Roman"/>
          <w:color w:val="000000" w:themeColor="text1"/>
          <w:sz w:val="28"/>
          <w:szCs w:val="28"/>
          <w:lang w:eastAsia="ru-RU"/>
        </w:rPr>
        <w:t xml:space="preserve"> </w:t>
      </w:r>
      <w:r w:rsidRPr="00F907E9">
        <w:rPr>
          <w:rFonts w:ascii="Times New Roman" w:eastAsia="Times New Roman" w:hAnsi="Times New Roman"/>
          <w:color w:val="000000"/>
          <w:sz w:val="24"/>
          <w:szCs w:val="24"/>
          <w:lang w:eastAsia="uk-UA"/>
        </w:rPr>
        <w:t xml:space="preserve">(далі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w:t>
      </w:r>
      <w:r w:rsidR="00F45702">
        <w:rPr>
          <w:rFonts w:ascii="Times New Roman" w:hAnsi="Times New Roman"/>
          <w:sz w:val="24"/>
          <w:szCs w:val="24"/>
        </w:rPr>
        <w:t>директора</w:t>
      </w:r>
      <w:r w:rsidR="00F45702" w:rsidRPr="00795776">
        <w:rPr>
          <w:rFonts w:ascii="Times New Roman" w:hAnsi="Times New Roman"/>
          <w:sz w:val="24"/>
          <w:szCs w:val="24"/>
        </w:rPr>
        <w:t xml:space="preserve"> </w:t>
      </w:r>
      <w:r w:rsidR="00F45702">
        <w:rPr>
          <w:rFonts w:ascii="Times New Roman" w:hAnsi="Times New Roman"/>
          <w:sz w:val="24"/>
          <w:szCs w:val="24"/>
        </w:rPr>
        <w:t>Хом’як Любов Казимирівни</w:t>
      </w:r>
      <w:r w:rsidRPr="00F907E9">
        <w:rPr>
          <w:rFonts w:ascii="Times New Roman" w:eastAsia="Times New Roman" w:hAnsi="Times New Roman"/>
          <w:color w:val="000000"/>
          <w:sz w:val="24"/>
          <w:szCs w:val="24"/>
          <w:lang w:eastAsia="uk-UA"/>
        </w:rPr>
        <w:t>,</w:t>
      </w:r>
      <w:r w:rsidR="00F45702">
        <w:rPr>
          <w:rFonts w:ascii="Times New Roman" w:eastAsia="Times New Roman" w:hAnsi="Times New Roman"/>
          <w:color w:val="000000"/>
          <w:sz w:val="24"/>
          <w:szCs w:val="24"/>
          <w:lang w:eastAsia="uk-UA"/>
        </w:rPr>
        <w:t xml:space="preserve"> який(яка) діє на підставі Статуту</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 xml:space="preserve">____________________грн. (_____________________________грн. ___ коп.), крім того ПДВ ______ </w:t>
      </w:r>
      <w:proofErr w:type="spellStart"/>
      <w:r w:rsidRPr="009E63AA">
        <w:rPr>
          <w:rFonts w:ascii="Times New Roman" w:hAnsi="Times New Roman"/>
          <w:color w:val="000000"/>
          <w:sz w:val="24"/>
          <w:szCs w:val="24"/>
        </w:rPr>
        <w:t>грн</w:t>
      </w:r>
      <w:proofErr w:type="spellEnd"/>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0671E0AE" w14:textId="2CFB9B11" w:rsidR="00F45702" w:rsidRPr="00795776" w:rsidRDefault="00920203" w:rsidP="00F45702">
      <w:pPr>
        <w:spacing w:after="0" w:line="240" w:lineRule="auto"/>
        <w:ind w:firstLine="708"/>
        <w:jc w:val="both"/>
        <w:rPr>
          <w:rFonts w:ascii="Times New Roman" w:hAnsi="Times New Roman"/>
          <w:sz w:val="24"/>
          <w:szCs w:val="24"/>
          <w:lang w:eastAsia="ru-RU"/>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00F45702" w:rsidRPr="00795776">
        <w:rPr>
          <w:rFonts w:ascii="Times New Roman" w:hAnsi="Times New Roman"/>
          <w:sz w:val="24"/>
          <w:szCs w:val="24"/>
          <w:lang w:eastAsia="ru-RU"/>
        </w:rPr>
        <w:t>Строк (термін) поставки товару: з ___________ 20</w:t>
      </w:r>
      <w:r w:rsidR="00F45702">
        <w:rPr>
          <w:rFonts w:ascii="Times New Roman" w:hAnsi="Times New Roman"/>
          <w:sz w:val="24"/>
          <w:szCs w:val="24"/>
          <w:lang w:eastAsia="ru-RU"/>
        </w:rPr>
        <w:t>24</w:t>
      </w:r>
      <w:r w:rsidR="00F45702" w:rsidRPr="00795776">
        <w:rPr>
          <w:rFonts w:ascii="Times New Roman" w:hAnsi="Times New Roman"/>
          <w:sz w:val="24"/>
          <w:szCs w:val="24"/>
          <w:lang w:eastAsia="ru-RU"/>
        </w:rPr>
        <w:t xml:space="preserve"> р.</w:t>
      </w:r>
      <w:r w:rsidR="00F45702">
        <w:rPr>
          <w:rFonts w:ascii="Times New Roman" w:hAnsi="Times New Roman"/>
          <w:sz w:val="24"/>
          <w:szCs w:val="24"/>
          <w:lang w:eastAsia="ru-RU"/>
        </w:rPr>
        <w:t xml:space="preserve"> </w:t>
      </w:r>
      <w:r w:rsidR="00F45702" w:rsidRPr="00795776">
        <w:rPr>
          <w:rFonts w:ascii="Times New Roman" w:hAnsi="Times New Roman"/>
          <w:sz w:val="24"/>
          <w:szCs w:val="24"/>
          <w:lang w:eastAsia="ru-RU"/>
        </w:rPr>
        <w:t>по 31 грудня 202</w:t>
      </w:r>
      <w:r w:rsidR="00F45702">
        <w:rPr>
          <w:rFonts w:ascii="Times New Roman" w:hAnsi="Times New Roman"/>
          <w:sz w:val="24"/>
          <w:szCs w:val="24"/>
          <w:lang w:val="ru-RU" w:eastAsia="ru-RU"/>
        </w:rPr>
        <w:t>4</w:t>
      </w:r>
      <w:r w:rsidR="00F45702" w:rsidRPr="00795776">
        <w:rPr>
          <w:rFonts w:ascii="Times New Roman" w:hAnsi="Times New Roman"/>
          <w:sz w:val="24"/>
          <w:szCs w:val="24"/>
          <w:lang w:eastAsia="ru-RU"/>
        </w:rPr>
        <w:t xml:space="preserve"> р.</w:t>
      </w:r>
      <w:r w:rsidR="00F45702">
        <w:rPr>
          <w:rFonts w:ascii="Times New Roman" w:hAnsi="Times New Roman"/>
          <w:sz w:val="24"/>
          <w:szCs w:val="24"/>
          <w:lang w:eastAsia="ru-RU"/>
        </w:rPr>
        <w:t xml:space="preserve"> включно.</w:t>
      </w:r>
    </w:p>
    <w:p w14:paraId="4FADA8C3" w14:textId="09B88278"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lastRenderedPageBreak/>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proofErr w:type="spellStart"/>
      <w:r w:rsidRPr="0004159B">
        <w:rPr>
          <w:rFonts w:ascii="Times New Roman" w:hAnsi="Times New Roman"/>
          <w:sz w:val="24"/>
          <w:szCs w:val="24"/>
        </w:rPr>
        <w:t>місяць</w:t>
      </w:r>
      <w:proofErr w:type="spellEnd"/>
      <w:r w:rsidRPr="0004159B">
        <w:rPr>
          <w:rFonts w:ascii="Times New Roman" w:hAnsi="Times New Roman"/>
          <w:sz w:val="24"/>
          <w:szCs w:val="24"/>
        </w:rPr>
        <w:t>,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lastRenderedPageBreak/>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w:t>
      </w:r>
      <w:r w:rsidRPr="00795776">
        <w:rPr>
          <w:rFonts w:ascii="Times New Roman" w:hAnsi="Times New Roman"/>
          <w:sz w:val="24"/>
          <w:szCs w:val="24"/>
        </w:rPr>
        <w:lastRenderedPageBreak/>
        <w:t>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Оперативно-господарські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795776">
        <w:rPr>
          <w:rFonts w:ascii="Times New Roman" w:hAnsi="Times New Roman"/>
          <w:sz w:val="24"/>
          <w:szCs w:val="24"/>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 xml:space="preserve">Існування обставин непереборної сили (форс-мажорних обставин) звільняє сторону Договору саме від </w:t>
      </w:r>
      <w:r w:rsidRPr="00931D50">
        <w:lastRenderedPageBreak/>
        <w:t>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tbl>
      <w:tblPr>
        <w:tblW w:w="19478" w:type="dxa"/>
        <w:tblInd w:w="250" w:type="dxa"/>
        <w:tblLayout w:type="fixed"/>
        <w:tblLook w:val="0000" w:firstRow="0" w:lastRow="0" w:firstColumn="0" w:lastColumn="0" w:noHBand="0" w:noVBand="0"/>
      </w:tblPr>
      <w:tblGrid>
        <w:gridCol w:w="19478"/>
      </w:tblGrid>
      <w:tr w:rsidR="00005AA7" w:rsidRPr="001873DB" w14:paraId="5EA84BF1" w14:textId="77777777" w:rsidTr="00C654AE">
        <w:trPr>
          <w:trHeight w:val="440"/>
        </w:trPr>
        <w:tc>
          <w:tcPr>
            <w:tcW w:w="4860" w:type="dxa"/>
          </w:tcPr>
          <w:p w14:paraId="26CFD6C5" w14:textId="156E9DA9" w:rsidR="00005AA7" w:rsidRPr="00005AA7" w:rsidRDefault="00005AA7" w:rsidP="00005AA7">
            <w:pPr>
              <w:spacing w:after="0" w:line="240" w:lineRule="auto"/>
              <w:rPr>
                <w:rFonts w:ascii="Cambria" w:hAnsi="Cambria"/>
                <w:b/>
                <w:i/>
                <w:sz w:val="23"/>
                <w:szCs w:val="23"/>
              </w:rPr>
            </w:pPr>
            <w:r w:rsidRPr="00005AA7">
              <w:rPr>
                <w:rFonts w:ascii="Cambria" w:hAnsi="Cambria"/>
                <w:b/>
                <w:i/>
                <w:sz w:val="23"/>
                <w:szCs w:val="23"/>
              </w:rPr>
              <w:t xml:space="preserve">                                              </w:t>
            </w:r>
            <w:r>
              <w:rPr>
                <w:rFonts w:ascii="Cambria" w:hAnsi="Cambria"/>
                <w:b/>
                <w:i/>
                <w:sz w:val="23"/>
                <w:szCs w:val="23"/>
              </w:rPr>
              <w:t xml:space="preserve">                                            </w:t>
            </w:r>
            <w:r w:rsidRPr="00005AA7">
              <w:rPr>
                <w:rFonts w:ascii="Cambria" w:hAnsi="Cambria"/>
                <w:b/>
                <w:i/>
                <w:sz w:val="23"/>
                <w:szCs w:val="23"/>
              </w:rPr>
              <w:t xml:space="preserve">     Комунальний заклад загальної середньої </w:t>
            </w:r>
          </w:p>
          <w:p w14:paraId="4FA31437" w14:textId="6DE8A39F" w:rsidR="00005AA7" w:rsidRDefault="00005AA7" w:rsidP="00005AA7">
            <w:pPr>
              <w:spacing w:after="0" w:line="240" w:lineRule="auto"/>
              <w:rPr>
                <w:rFonts w:ascii="Cambria" w:hAnsi="Cambria"/>
                <w:b/>
                <w:i/>
                <w:sz w:val="23"/>
                <w:szCs w:val="23"/>
              </w:rPr>
            </w:pPr>
            <w:r>
              <w:rPr>
                <w:rFonts w:ascii="Cambria" w:hAnsi="Cambria"/>
                <w:b/>
                <w:i/>
                <w:sz w:val="23"/>
                <w:szCs w:val="23"/>
              </w:rPr>
              <w:t xml:space="preserve">                                                                                              </w:t>
            </w:r>
            <w:r w:rsidRPr="00005AA7">
              <w:rPr>
                <w:rFonts w:ascii="Cambria" w:hAnsi="Cambria"/>
                <w:b/>
                <w:i/>
                <w:sz w:val="23"/>
                <w:szCs w:val="23"/>
              </w:rPr>
              <w:t xml:space="preserve">освіти «Княгининівський ліцей № 34 </w:t>
            </w:r>
          </w:p>
          <w:p w14:paraId="58389972" w14:textId="10D9EEB8" w:rsidR="00005AA7" w:rsidRPr="00005AA7" w:rsidRDefault="00005AA7" w:rsidP="00005AA7">
            <w:pPr>
              <w:spacing w:after="0" w:line="240" w:lineRule="auto"/>
              <w:rPr>
                <w:rFonts w:ascii="Cambria" w:hAnsi="Cambria"/>
                <w:b/>
                <w:i/>
                <w:sz w:val="23"/>
                <w:szCs w:val="23"/>
              </w:rPr>
            </w:pPr>
            <w:r>
              <w:rPr>
                <w:rFonts w:ascii="Cambria" w:hAnsi="Cambria"/>
                <w:b/>
                <w:i/>
                <w:sz w:val="23"/>
                <w:szCs w:val="23"/>
              </w:rPr>
              <w:t xml:space="preserve">                                                                                             </w:t>
            </w:r>
            <w:r w:rsidRPr="00005AA7">
              <w:rPr>
                <w:rFonts w:ascii="Cambria" w:hAnsi="Cambria"/>
                <w:b/>
                <w:i/>
                <w:sz w:val="23"/>
                <w:szCs w:val="23"/>
              </w:rPr>
              <w:t>Луцької міської ради»</w:t>
            </w:r>
          </w:p>
          <w:p w14:paraId="13A7C850" w14:textId="5BA0F97B" w:rsidR="00005AA7"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45630</w:t>
            </w:r>
            <w:r>
              <w:rPr>
                <w:rFonts w:ascii="Cambria" w:hAnsi="Cambria"/>
                <w:b/>
                <w:sz w:val="23"/>
                <w:szCs w:val="23"/>
              </w:rPr>
              <w:t xml:space="preserve">, </w:t>
            </w:r>
            <w:r w:rsidRPr="001873DB">
              <w:rPr>
                <w:rFonts w:ascii="Cambria" w:hAnsi="Cambria"/>
                <w:b/>
                <w:sz w:val="23"/>
                <w:szCs w:val="23"/>
              </w:rPr>
              <w:t xml:space="preserve">вул. Соборна 92, с.Княгининок, </w:t>
            </w:r>
          </w:p>
          <w:p w14:paraId="0E638A67" w14:textId="498FBDAC" w:rsidR="00005AA7" w:rsidRPr="001873DB"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 xml:space="preserve">Луцького району Волинської області, </w:t>
            </w:r>
          </w:p>
          <w:p w14:paraId="1BC138AF" w14:textId="16173FA0" w:rsidR="00005AA7" w:rsidRPr="001873DB" w:rsidRDefault="00005AA7" w:rsidP="00005AA7">
            <w:pPr>
              <w:spacing w:after="0" w:line="240" w:lineRule="auto"/>
              <w:rPr>
                <w:rFonts w:ascii="Cambria" w:hAnsi="Cambria"/>
                <w:b/>
                <w:sz w:val="23"/>
                <w:szCs w:val="23"/>
              </w:rPr>
            </w:pPr>
            <w:r>
              <w:rPr>
                <w:rFonts w:ascii="Cambria" w:hAnsi="Cambria"/>
                <w:b/>
                <w:sz w:val="23"/>
                <w:szCs w:val="23"/>
              </w:rPr>
              <w:t xml:space="preserve">                                                                                           </w:t>
            </w:r>
            <w:r w:rsidRPr="001873DB">
              <w:rPr>
                <w:rFonts w:ascii="Cambria" w:hAnsi="Cambria"/>
                <w:b/>
                <w:sz w:val="23"/>
                <w:szCs w:val="23"/>
              </w:rPr>
              <w:t>МФО __________ ЄДРПОУ 41523348</w:t>
            </w:r>
          </w:p>
        </w:tc>
      </w:tr>
      <w:tr w:rsidR="00005AA7" w:rsidRPr="001873DB" w14:paraId="49EE6B06" w14:textId="77777777" w:rsidTr="00C654AE">
        <w:trPr>
          <w:trHeight w:val="440"/>
        </w:trPr>
        <w:tc>
          <w:tcPr>
            <w:tcW w:w="4860" w:type="dxa"/>
          </w:tcPr>
          <w:p w14:paraId="7976497E" w14:textId="77777777" w:rsidR="00005AA7" w:rsidRPr="001873DB" w:rsidRDefault="00005AA7" w:rsidP="00005AA7">
            <w:pPr>
              <w:spacing w:after="0" w:line="240" w:lineRule="auto"/>
              <w:rPr>
                <w:rFonts w:ascii="Cambria" w:hAnsi="Cambria"/>
                <w:b/>
                <w:sz w:val="23"/>
                <w:szCs w:val="23"/>
              </w:rPr>
            </w:pPr>
          </w:p>
        </w:tc>
      </w:tr>
      <w:tr w:rsidR="00005AA7" w:rsidRPr="001873DB" w14:paraId="1CDEB4EE" w14:textId="77777777" w:rsidTr="00C654AE">
        <w:trPr>
          <w:trHeight w:val="440"/>
        </w:trPr>
        <w:tc>
          <w:tcPr>
            <w:tcW w:w="4860" w:type="dxa"/>
          </w:tcPr>
          <w:p w14:paraId="5A8C8F95" w14:textId="14F0A1D6"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w:t>
            </w:r>
            <w:r w:rsidRPr="001873DB">
              <w:rPr>
                <w:rFonts w:ascii="Cambria" w:hAnsi="Cambria"/>
                <w:b/>
                <w:sz w:val="23"/>
                <w:szCs w:val="23"/>
                <w:lang w:val="uk-UA"/>
              </w:rPr>
              <w:t>______________________Л.К. Хом’як</w:t>
            </w:r>
          </w:p>
          <w:p w14:paraId="5D6D2F21" w14:textId="6E7D57DF"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w:t>
            </w:r>
            <w:r w:rsidRPr="001873DB">
              <w:rPr>
                <w:rFonts w:ascii="Cambria" w:hAnsi="Cambria"/>
                <w:b/>
                <w:sz w:val="23"/>
                <w:szCs w:val="23"/>
                <w:lang w:val="uk-UA"/>
              </w:rPr>
              <w:t xml:space="preserve"> М.П.</w:t>
            </w:r>
          </w:p>
          <w:p w14:paraId="40B5E353" w14:textId="59A0EAA4" w:rsidR="00005AA7" w:rsidRPr="001873DB" w:rsidRDefault="00005AA7" w:rsidP="00005AA7">
            <w:pPr>
              <w:pStyle w:val="NormalUkr"/>
              <w:tabs>
                <w:tab w:val="left" w:pos="5103"/>
                <w:tab w:val="left" w:pos="8789"/>
              </w:tabs>
              <w:rPr>
                <w:rFonts w:ascii="Cambria" w:hAnsi="Cambria"/>
                <w:b/>
                <w:sz w:val="23"/>
                <w:szCs w:val="23"/>
                <w:lang w:val="uk-UA"/>
              </w:rPr>
            </w:pPr>
            <w:r>
              <w:rPr>
                <w:rFonts w:ascii="Cambria" w:hAnsi="Cambria"/>
                <w:b/>
                <w:sz w:val="23"/>
                <w:szCs w:val="23"/>
                <w:lang w:val="uk-UA"/>
              </w:rPr>
              <w:t xml:space="preserve">                                                                                          “______”_____________ 20____</w:t>
            </w:r>
            <w:r w:rsidRPr="001873DB">
              <w:rPr>
                <w:rFonts w:ascii="Cambria" w:hAnsi="Cambria"/>
                <w:b/>
                <w:sz w:val="23"/>
                <w:szCs w:val="23"/>
                <w:lang w:val="uk-UA"/>
              </w:rPr>
              <w:t>р.</w:t>
            </w:r>
          </w:p>
        </w:tc>
      </w:tr>
    </w:tbl>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39906D11" w14:textId="77777777" w:rsidR="00005AA7" w:rsidRDefault="00005AA7" w:rsidP="00920203"/>
    <w:p w14:paraId="74B4E71C" w14:textId="77777777" w:rsidR="00005AA7" w:rsidRDefault="00005AA7" w:rsidP="00920203"/>
    <w:p w14:paraId="5B131761" w14:textId="77777777" w:rsidR="00005AA7" w:rsidRDefault="00005AA7" w:rsidP="00920203"/>
    <w:p w14:paraId="5FD9636B" w14:textId="77777777"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47ACB12A" w:rsidR="00920203" w:rsidRDefault="00005AA7" w:rsidP="00005AA7">
            <w:pPr>
              <w:spacing w:after="0" w:line="240" w:lineRule="auto"/>
              <w:jc w:val="both"/>
              <w:rPr>
                <w:rFonts w:ascii="Times New Roman" w:hAnsi="Times New Roman"/>
                <w:b/>
                <w:kern w:val="2"/>
                <w:sz w:val="24"/>
                <w:szCs w:val="24"/>
                <w14:ligatures w14:val="standardContextual"/>
              </w:rPr>
            </w:pPr>
            <w:r w:rsidRPr="00A96687">
              <w:rPr>
                <w:rFonts w:ascii="Times New Roman" w:hAnsi="Times New Roman"/>
                <w:b/>
                <w:sz w:val="24"/>
                <w:szCs w:val="24"/>
                <w:lang w:eastAsia="ru-RU"/>
              </w:rPr>
              <w:t>Комунальний заклад загальної середньої освіти «Княгининівський ліцей № 34 Луцької міської ради»</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471571F2" w:rsidR="00920203" w:rsidRDefault="00005AA7"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41523348</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kern w:val="2"/>
                <w:sz w:val="24"/>
                <w:szCs w:val="24"/>
                <w14:ligatures w14:val="standardContextual"/>
              </w:rPr>
              <w:t>ЕІС-код</w:t>
            </w:r>
            <w:proofErr w:type="spellEnd"/>
            <w:r>
              <w:rPr>
                <w:rFonts w:ascii="Times New Roman" w:hAnsi="Times New Roman"/>
                <w:kern w:val="2"/>
                <w:sz w:val="24"/>
                <w:szCs w:val="24"/>
                <w14:ligatures w14:val="standardContextual"/>
              </w:rPr>
              <w:t xml:space="preserve">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kern w:val="2"/>
                <w:sz w:val="24"/>
                <w:szCs w:val="24"/>
                <w14:ligatures w14:val="standardContextual"/>
              </w:rPr>
              <w:t>ЕІС-код</w:t>
            </w:r>
            <w:proofErr w:type="spellEnd"/>
            <w:r>
              <w:rPr>
                <w:rFonts w:ascii="Times New Roman" w:hAnsi="Times New Roman"/>
                <w:kern w:val="2"/>
                <w:sz w:val="24"/>
                <w:szCs w:val="24"/>
                <w14:ligatures w14:val="standardContextual"/>
              </w:rPr>
              <w:t xml:space="preserve">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58E4434F" w14:textId="0FF05D4C" w:rsidR="00920203" w:rsidRDefault="00920203" w:rsidP="00005AA7">
      <w:pPr>
        <w:spacing w:after="0" w:line="240" w:lineRule="auto"/>
        <w:rPr>
          <w:rFonts w:ascii="Times New Roman" w:hAnsi="Times New Roman"/>
          <w:i/>
          <w:szCs w:val="24"/>
        </w:rPr>
      </w:pPr>
      <w:r>
        <w:rPr>
          <w:rFonts w:ascii="Times New Roman" w:hAnsi="Times New Roman"/>
          <w:b/>
          <w:sz w:val="24"/>
          <w:szCs w:val="24"/>
        </w:rPr>
        <w:t xml:space="preserve">ІІ. Строк постачання електричної енергії: з </w:t>
      </w:r>
      <w:r w:rsidR="00042E74">
        <w:rPr>
          <w:rFonts w:ascii="Times New Roman" w:hAnsi="Times New Roman"/>
          <w:b/>
          <w:sz w:val="24"/>
          <w:szCs w:val="24"/>
          <w:lang w:eastAsia="ru-RU"/>
        </w:rPr>
        <w:t>___.___</w:t>
      </w:r>
      <w:bookmarkStart w:id="8" w:name="_GoBack"/>
      <w:bookmarkEnd w:id="8"/>
      <w:r w:rsidR="00005AA7">
        <w:rPr>
          <w:rFonts w:ascii="Times New Roman" w:hAnsi="Times New Roman"/>
          <w:b/>
          <w:sz w:val="24"/>
          <w:szCs w:val="24"/>
          <w:lang w:eastAsia="ru-RU"/>
        </w:rPr>
        <w:t>.2024р. до 31.12.2024</w:t>
      </w:r>
      <w:r w:rsidR="00005AA7" w:rsidRPr="00795776">
        <w:rPr>
          <w:rFonts w:ascii="Times New Roman" w:hAnsi="Times New Roman"/>
          <w:b/>
          <w:sz w:val="24"/>
          <w:szCs w:val="24"/>
          <w:lang w:eastAsia="ru-RU"/>
        </w:rPr>
        <w:t>р.</w:t>
      </w: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67"/>
        <w:gridCol w:w="666"/>
        <w:gridCol w:w="666"/>
        <w:gridCol w:w="666"/>
        <w:gridCol w:w="666"/>
        <w:gridCol w:w="666"/>
        <w:gridCol w:w="666"/>
        <w:gridCol w:w="666"/>
        <w:gridCol w:w="666"/>
        <w:gridCol w:w="666"/>
        <w:gridCol w:w="666"/>
        <w:gridCol w:w="666"/>
        <w:gridCol w:w="597"/>
      </w:tblGrid>
      <w:tr w:rsidR="00920203" w14:paraId="557B6FAA" w14:textId="77777777" w:rsidTr="000A22B1">
        <w:trPr>
          <w:cantSplit/>
          <w:trHeight w:val="1380"/>
        </w:trPr>
        <w:tc>
          <w:tcPr>
            <w:tcW w:w="640"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39"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38"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309"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0A22B1">
        <w:tc>
          <w:tcPr>
            <w:tcW w:w="640"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39"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38"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309"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bl>
    <w:p w14:paraId="5358842F" w14:textId="77777777" w:rsidR="000A22B1" w:rsidRDefault="000A22B1" w:rsidP="000A22B1">
      <w:pPr>
        <w:spacing w:after="0" w:line="240" w:lineRule="auto"/>
        <w:jc w:val="both"/>
        <w:rPr>
          <w:rFonts w:ascii="Times New Roman" w:hAnsi="Times New Roman"/>
          <w:sz w:val="24"/>
          <w:szCs w:val="24"/>
          <w:lang w:eastAsia="ru-RU"/>
        </w:rPr>
      </w:pPr>
    </w:p>
    <w:p w14:paraId="05D3DACA" w14:textId="538F1D16" w:rsidR="000A22B1" w:rsidRDefault="000A22B1" w:rsidP="000A22B1">
      <w:pPr>
        <w:spacing w:after="0" w:line="240" w:lineRule="auto"/>
        <w:jc w:val="both"/>
        <w:rPr>
          <w:rFonts w:ascii="Times New Roman" w:hAnsi="Times New Roman"/>
          <w:sz w:val="24"/>
          <w:szCs w:val="24"/>
          <w:lang w:eastAsia="ru-RU"/>
        </w:rPr>
      </w:pPr>
    </w:p>
    <w:p w14:paraId="28622F7A" w14:textId="345BBF51" w:rsidR="000A22B1" w:rsidRDefault="000A22B1" w:rsidP="000A22B1">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Pr>
          <w:rFonts w:ascii="Times New Roman" w:hAnsi="Times New Roman"/>
          <w:sz w:val="24"/>
          <w:szCs w:val="24"/>
          <w:lang w:eastAsia="ru-RU"/>
        </w:rPr>
        <w:t xml:space="preserve">                 </w:t>
      </w:r>
      <w:r>
        <w:rPr>
          <w:rFonts w:ascii="Times New Roman" w:hAnsi="Times New Roman"/>
          <w:sz w:val="24"/>
          <w:szCs w:val="24"/>
          <w:lang w:eastAsia="ru-RU"/>
        </w:rPr>
        <w:tab/>
        <w:t xml:space="preserve">        </w:t>
      </w:r>
      <w:r>
        <w:rPr>
          <w:rFonts w:ascii="Times New Roman" w:hAnsi="Times New Roman"/>
          <w:sz w:val="24"/>
          <w:szCs w:val="24"/>
          <w:lang w:eastAsia="ru-RU"/>
        </w:rPr>
        <w:tab/>
        <w:t xml:space="preserve">    </w:t>
      </w:r>
      <w:r w:rsidRPr="00795776">
        <w:rPr>
          <w:rFonts w:ascii="Times New Roman" w:hAnsi="Times New Roman"/>
          <w:sz w:val="24"/>
          <w:szCs w:val="24"/>
          <w:lang w:eastAsia="ru-RU"/>
        </w:rPr>
        <w:t xml:space="preserve">   Споживач:</w:t>
      </w:r>
    </w:p>
    <w:p w14:paraId="208580EC" w14:textId="3B9DE7C8" w:rsidR="000A22B1" w:rsidRPr="00795776" w:rsidRDefault="000A22B1" w:rsidP="000A22B1">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r>
    </w:p>
    <w:tbl>
      <w:tblPr>
        <w:tblW w:w="14618" w:type="dxa"/>
        <w:tblInd w:w="250" w:type="dxa"/>
        <w:tblLayout w:type="fixed"/>
        <w:tblLook w:val="0000" w:firstRow="0" w:lastRow="0" w:firstColumn="0" w:lastColumn="0" w:noHBand="0" w:noVBand="0"/>
      </w:tblPr>
      <w:tblGrid>
        <w:gridCol w:w="4898"/>
        <w:gridCol w:w="4860"/>
        <w:gridCol w:w="4860"/>
      </w:tblGrid>
      <w:tr w:rsidR="000A22B1" w:rsidRPr="00795776" w14:paraId="46710CD1" w14:textId="77777777" w:rsidTr="00C654AE">
        <w:trPr>
          <w:trHeight w:val="255"/>
        </w:trPr>
        <w:tc>
          <w:tcPr>
            <w:tcW w:w="4898" w:type="dxa"/>
          </w:tcPr>
          <w:p w14:paraId="3CAF9C00" w14:textId="77777777" w:rsidR="000A22B1" w:rsidRPr="00795776" w:rsidRDefault="000A22B1" w:rsidP="00C654AE">
            <w:pPr>
              <w:spacing w:after="0" w:line="240" w:lineRule="auto"/>
              <w:rPr>
                <w:rFonts w:ascii="Times New Roman" w:hAnsi="Times New Roman"/>
                <w:b/>
                <w:sz w:val="24"/>
                <w:szCs w:val="24"/>
              </w:rPr>
            </w:pPr>
          </w:p>
          <w:p w14:paraId="380083AB" w14:textId="77777777" w:rsidR="000A22B1" w:rsidRPr="00795776" w:rsidRDefault="000A22B1" w:rsidP="00C654AE">
            <w:pPr>
              <w:spacing w:after="0" w:line="240" w:lineRule="auto"/>
              <w:rPr>
                <w:rFonts w:ascii="Times New Roman" w:hAnsi="Times New Roman"/>
                <w:b/>
                <w:sz w:val="24"/>
                <w:szCs w:val="24"/>
              </w:rPr>
            </w:pPr>
          </w:p>
          <w:p w14:paraId="06C7FE88" w14:textId="77777777" w:rsidR="000A22B1" w:rsidRPr="00795776" w:rsidRDefault="000A22B1" w:rsidP="00C654AE">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417C5EDA" w14:textId="77777777" w:rsidR="000A22B1" w:rsidRPr="00795776" w:rsidRDefault="000A22B1" w:rsidP="00C654AE">
            <w:pPr>
              <w:spacing w:after="0" w:line="240" w:lineRule="auto"/>
              <w:rPr>
                <w:rFonts w:ascii="Times New Roman" w:hAnsi="Times New Roman"/>
                <w:spacing w:val="-4"/>
                <w:sz w:val="24"/>
                <w:szCs w:val="24"/>
                <w:u w:val="single"/>
              </w:rPr>
            </w:pPr>
          </w:p>
          <w:p w14:paraId="1CC2AE87" w14:textId="434C1AC9" w:rsidR="000A22B1" w:rsidRPr="00795776" w:rsidRDefault="000A22B1" w:rsidP="00C654AE">
            <w:pPr>
              <w:spacing w:after="0" w:line="240" w:lineRule="auto"/>
              <w:rPr>
                <w:rFonts w:ascii="Times New Roman" w:hAnsi="Times New Roman"/>
                <w:sz w:val="24"/>
                <w:szCs w:val="24"/>
              </w:rPr>
            </w:pPr>
          </w:p>
        </w:tc>
        <w:tc>
          <w:tcPr>
            <w:tcW w:w="4860" w:type="dxa"/>
          </w:tcPr>
          <w:p w14:paraId="73AE2CC2" w14:textId="77777777" w:rsidR="000A22B1" w:rsidRPr="001873DB" w:rsidRDefault="000A22B1" w:rsidP="00C654AE">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7BF805C2" w14:textId="77777777" w:rsidR="000A22B1" w:rsidRPr="001873DB" w:rsidRDefault="000A22B1" w:rsidP="00C654AE">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7501EA45" w14:textId="77777777" w:rsidR="000A22B1" w:rsidRPr="001873DB" w:rsidRDefault="000A22B1" w:rsidP="00C654AE">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65855093" w14:textId="77777777" w:rsidR="000A22B1" w:rsidRPr="00795776" w:rsidRDefault="000A22B1" w:rsidP="00C654AE">
            <w:pPr>
              <w:spacing w:after="0" w:line="240" w:lineRule="auto"/>
              <w:rPr>
                <w:rFonts w:ascii="Times New Roman" w:hAnsi="Times New Roman"/>
                <w:sz w:val="24"/>
                <w:szCs w:val="24"/>
              </w:rPr>
            </w:pPr>
          </w:p>
        </w:tc>
      </w:tr>
      <w:tr w:rsidR="000A22B1" w:rsidRPr="00795776" w14:paraId="17ED0037" w14:textId="77777777" w:rsidTr="00C654AE">
        <w:trPr>
          <w:trHeight w:val="255"/>
        </w:trPr>
        <w:tc>
          <w:tcPr>
            <w:tcW w:w="4898" w:type="dxa"/>
          </w:tcPr>
          <w:p w14:paraId="59AC6995" w14:textId="77777777" w:rsidR="000A22B1" w:rsidRPr="00795776" w:rsidRDefault="000A22B1" w:rsidP="000A22B1">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3C7F6ADD" w14:textId="465B6DCB" w:rsidR="000A22B1" w:rsidRPr="00795776" w:rsidRDefault="000A22B1" w:rsidP="000A22B1">
            <w:pPr>
              <w:spacing w:after="0" w:line="240" w:lineRule="auto"/>
              <w:rPr>
                <w:rFonts w:ascii="Times New Roman" w:hAnsi="Times New Roman"/>
                <w:b/>
                <w:sz w:val="24"/>
                <w:szCs w:val="24"/>
              </w:rPr>
            </w:pPr>
            <w:r w:rsidRPr="00795776">
              <w:rPr>
                <w:rFonts w:ascii="Times New Roman" w:hAnsi="Times New Roman"/>
                <w:spacing w:val="-4"/>
                <w:sz w:val="24"/>
                <w:szCs w:val="24"/>
              </w:rPr>
              <w:t>М.П.</w:t>
            </w:r>
          </w:p>
        </w:tc>
        <w:tc>
          <w:tcPr>
            <w:tcW w:w="4860" w:type="dxa"/>
          </w:tcPr>
          <w:p w14:paraId="7F338057" w14:textId="77777777" w:rsidR="000A22B1" w:rsidRPr="001873DB" w:rsidRDefault="000A22B1"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75CF848F" w14:textId="77777777" w:rsidR="000A22B1" w:rsidRPr="001873DB" w:rsidRDefault="000A22B1"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20318FB1" w14:textId="77777777" w:rsidR="000A22B1" w:rsidRDefault="000A22B1" w:rsidP="00C654AE">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20____</w:t>
            </w:r>
            <w:r w:rsidRPr="001873DB">
              <w:rPr>
                <w:rFonts w:ascii="Cambria" w:hAnsi="Cambria"/>
                <w:b/>
                <w:sz w:val="23"/>
                <w:szCs w:val="23"/>
                <w:lang w:val="uk-UA"/>
              </w:rPr>
              <w:t>р.</w:t>
            </w:r>
          </w:p>
          <w:p w14:paraId="351D6500" w14:textId="77777777" w:rsidR="000A22B1" w:rsidRPr="001873DB" w:rsidRDefault="000A22B1" w:rsidP="00C654AE">
            <w:pPr>
              <w:pStyle w:val="NormalUkr"/>
              <w:tabs>
                <w:tab w:val="left" w:pos="5103"/>
                <w:tab w:val="left" w:pos="8789"/>
              </w:tabs>
              <w:rPr>
                <w:rFonts w:ascii="Cambria" w:hAnsi="Cambria"/>
                <w:b/>
                <w:sz w:val="23"/>
                <w:szCs w:val="23"/>
                <w:lang w:val="uk-UA"/>
              </w:rPr>
            </w:pPr>
          </w:p>
        </w:tc>
        <w:tc>
          <w:tcPr>
            <w:tcW w:w="4860" w:type="dxa"/>
          </w:tcPr>
          <w:p w14:paraId="43B87F00" w14:textId="77777777" w:rsidR="000A22B1" w:rsidRPr="00795776" w:rsidRDefault="000A22B1" w:rsidP="00C654AE">
            <w:pPr>
              <w:spacing w:after="0" w:line="240" w:lineRule="auto"/>
              <w:rPr>
                <w:rFonts w:ascii="Times New Roman" w:hAnsi="Times New Roman"/>
                <w:sz w:val="24"/>
                <w:szCs w:val="24"/>
              </w:rPr>
            </w:pPr>
          </w:p>
        </w:tc>
      </w:tr>
    </w:tbl>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(структура ціни),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електричної енергії як товару (нерегульована частина ціни) (без ПДВ),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Величина регульованих тарифів* (без ПДВ)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proofErr w:type="spellStart"/>
            <w:r>
              <w:rPr>
                <w:rFonts w:ascii="Times New Roman" w:hAnsi="Times New Roman"/>
                <w:kern w:val="2"/>
                <w:sz w:val="24"/>
                <w:szCs w:val="24"/>
                <w14:ligatures w14:val="standardContextual"/>
              </w:rPr>
              <w:t>грн</w:t>
            </w:r>
            <w:proofErr w:type="spellEnd"/>
            <w:r>
              <w:rPr>
                <w:rFonts w:ascii="Times New Roman" w:hAnsi="Times New Roman"/>
                <w:kern w:val="2"/>
                <w:sz w:val="24"/>
                <w:szCs w:val="24"/>
                <w14:ligatures w14:val="standardContextual"/>
              </w:rPr>
              <w:t xml:space="preserve">/кВт* </w:t>
            </w:r>
            <w:proofErr w:type="spellStart"/>
            <w:r>
              <w:rPr>
                <w:rFonts w:ascii="Times New Roman" w:hAnsi="Times New Roman"/>
                <w:kern w:val="2"/>
                <w:sz w:val="24"/>
                <w:szCs w:val="24"/>
                <w14:ligatures w14:val="standardContextual"/>
              </w:rPr>
              <w:t>год</w:t>
            </w:r>
            <w:proofErr w:type="spellEnd"/>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p w14:paraId="30F727DC" w14:textId="77777777" w:rsidR="00F66625" w:rsidRPr="00795776" w:rsidRDefault="00F66625" w:rsidP="00F66625">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F66625" w:rsidRPr="00795776" w14:paraId="21E12408" w14:textId="77777777" w:rsidTr="00C654AE">
        <w:trPr>
          <w:trHeight w:val="440"/>
        </w:trPr>
        <w:tc>
          <w:tcPr>
            <w:tcW w:w="4898" w:type="dxa"/>
            <w:vAlign w:val="center"/>
          </w:tcPr>
          <w:p w14:paraId="24B8503C" w14:textId="77777777" w:rsidR="00F66625" w:rsidRDefault="00F66625" w:rsidP="00C654AE">
            <w:pPr>
              <w:spacing w:after="0" w:line="240" w:lineRule="auto"/>
              <w:rPr>
                <w:rFonts w:ascii="Times New Roman" w:hAnsi="Times New Roman"/>
                <w:b/>
                <w:sz w:val="24"/>
                <w:szCs w:val="24"/>
              </w:rPr>
            </w:pPr>
          </w:p>
          <w:p w14:paraId="4DEAD1AE" w14:textId="77777777" w:rsidR="00F66625" w:rsidRDefault="00F66625" w:rsidP="00C654AE">
            <w:pPr>
              <w:spacing w:after="0" w:line="240" w:lineRule="auto"/>
              <w:rPr>
                <w:rFonts w:ascii="Times New Roman" w:hAnsi="Times New Roman"/>
                <w:b/>
                <w:sz w:val="24"/>
                <w:szCs w:val="24"/>
              </w:rPr>
            </w:pPr>
          </w:p>
          <w:p w14:paraId="447AEFC7" w14:textId="77777777" w:rsidR="00F66625" w:rsidRDefault="00F66625" w:rsidP="00C654AE">
            <w:pPr>
              <w:spacing w:after="0" w:line="240" w:lineRule="auto"/>
              <w:rPr>
                <w:rFonts w:ascii="Times New Roman" w:hAnsi="Times New Roman"/>
                <w:b/>
                <w:sz w:val="24"/>
                <w:szCs w:val="24"/>
              </w:rPr>
            </w:pPr>
          </w:p>
          <w:p w14:paraId="14C0FEC9" w14:textId="77777777" w:rsidR="00F66625" w:rsidRPr="00795776" w:rsidRDefault="00F66625" w:rsidP="00C654AE">
            <w:pPr>
              <w:spacing w:after="0" w:line="240" w:lineRule="auto"/>
              <w:rPr>
                <w:rFonts w:ascii="Times New Roman" w:hAnsi="Times New Roman"/>
                <w:b/>
                <w:sz w:val="24"/>
                <w:szCs w:val="24"/>
              </w:rPr>
            </w:pPr>
          </w:p>
        </w:tc>
        <w:tc>
          <w:tcPr>
            <w:tcW w:w="4860" w:type="dxa"/>
          </w:tcPr>
          <w:p w14:paraId="4AFB3305" w14:textId="77777777" w:rsidR="00F66625" w:rsidRPr="004712B4" w:rsidRDefault="00F66625" w:rsidP="00C654AE">
            <w:pPr>
              <w:rPr>
                <w:rFonts w:ascii="Cambria" w:hAnsi="Cambria"/>
                <w:b/>
                <w:i/>
                <w:sz w:val="23"/>
                <w:szCs w:val="23"/>
                <w:u w:val="single"/>
              </w:rPr>
            </w:pPr>
            <w:r w:rsidRPr="004712B4">
              <w:rPr>
                <w:rFonts w:ascii="Cambria" w:hAnsi="Cambria"/>
                <w:b/>
                <w:i/>
                <w:sz w:val="23"/>
                <w:szCs w:val="23"/>
                <w:u w:val="single"/>
              </w:rPr>
              <w:t>Комунальний заклад загальної середньої освіти «Княгининівський ліцей № 34 Луцької міської ради»</w:t>
            </w:r>
          </w:p>
        </w:tc>
      </w:tr>
      <w:tr w:rsidR="00F66625" w:rsidRPr="00795776" w14:paraId="3FF83802" w14:textId="77777777" w:rsidTr="00C654AE">
        <w:trPr>
          <w:trHeight w:val="2057"/>
        </w:trPr>
        <w:tc>
          <w:tcPr>
            <w:tcW w:w="4898" w:type="dxa"/>
          </w:tcPr>
          <w:p w14:paraId="50FCA2F6" w14:textId="77777777" w:rsidR="00F66625" w:rsidRPr="00795776" w:rsidRDefault="00F66625" w:rsidP="00F66625">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52FF8E2" w14:textId="0704934F" w:rsidR="00F66625" w:rsidRPr="00795776" w:rsidRDefault="00F66625" w:rsidP="00F66625">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53BFCD05" w14:textId="77777777" w:rsidR="00F66625" w:rsidRDefault="00F66625" w:rsidP="00C654AE">
            <w:pPr>
              <w:rPr>
                <w:rFonts w:ascii="Cambria" w:hAnsi="Cambria"/>
                <w:b/>
                <w:sz w:val="23"/>
                <w:szCs w:val="23"/>
              </w:rPr>
            </w:pPr>
            <w:r w:rsidRPr="004712B4">
              <w:rPr>
                <w:rFonts w:ascii="Cambria" w:hAnsi="Cambria"/>
                <w:b/>
                <w:sz w:val="23"/>
                <w:szCs w:val="23"/>
              </w:rPr>
              <w:t>вул. Соборна 92, с.Княгининок, Луцького району Волинської області, 45630</w:t>
            </w:r>
          </w:p>
          <w:p w14:paraId="2C6BD5DD" w14:textId="56601D79" w:rsidR="00F66625" w:rsidRPr="004712B4" w:rsidRDefault="00F66625" w:rsidP="00C654AE">
            <w:pPr>
              <w:rPr>
                <w:rFonts w:ascii="Cambria" w:hAnsi="Cambria"/>
                <w:b/>
                <w:sz w:val="23"/>
                <w:szCs w:val="23"/>
              </w:rPr>
            </w:pPr>
            <w:r w:rsidRPr="004712B4">
              <w:rPr>
                <w:rFonts w:ascii="Cambria" w:hAnsi="Cambria"/>
                <w:b/>
                <w:sz w:val="23"/>
                <w:szCs w:val="23"/>
              </w:rPr>
              <w:t>р/р _______________________________</w:t>
            </w:r>
          </w:p>
        </w:tc>
      </w:tr>
    </w:tbl>
    <w:p w14:paraId="220A3B70" w14:textId="77777777" w:rsidR="00F66625" w:rsidRDefault="00F66625"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proofErr w:type="spellStart"/>
      <w:r>
        <w:rPr>
          <w:rFonts w:ascii="Times New Roman" w:hAnsi="Times New Roman"/>
          <w:spacing w:val="-10"/>
          <w:sz w:val="24"/>
          <w:szCs w:val="24"/>
        </w:rPr>
        <w:t>грн</w:t>
      </w:r>
      <w:proofErr w:type="spellEnd"/>
      <w:r>
        <w:rPr>
          <w:rFonts w:ascii="Times New Roman" w:hAnsi="Times New Roman"/>
          <w:spacing w:val="-10"/>
          <w:sz w:val="24"/>
          <w:szCs w:val="24"/>
        </w:rPr>
        <w:t>/</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lastRenderedPageBreak/>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proofErr w:type="spellStart"/>
      <w:r w:rsidRPr="006269FB">
        <w:rPr>
          <w:rFonts w:ascii="Times New Roman" w:hAnsi="Times New Roman"/>
          <w:spacing w:val="-10"/>
          <w:sz w:val="24"/>
          <w:szCs w:val="24"/>
        </w:rPr>
        <w:t>грн</w:t>
      </w:r>
      <w:proofErr w:type="spellEnd"/>
      <w:r w:rsidRPr="006269FB">
        <w:rPr>
          <w:rFonts w:ascii="Times New Roman" w:hAnsi="Times New Roman"/>
          <w:spacing w:val="-10"/>
          <w:sz w:val="24"/>
          <w:szCs w:val="24"/>
        </w:rPr>
        <w:t>/</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w:t>
      </w:r>
      <w:proofErr w:type="spellStart"/>
      <w:r>
        <w:rPr>
          <w:rFonts w:ascii="Times New Roman" w:hAnsi="Times New Roman"/>
          <w:sz w:val="24"/>
          <w:szCs w:val="24"/>
          <w:shd w:val="clear" w:color="auto" w:fill="FFFFFF"/>
        </w:rPr>
        <w:t>грн</w:t>
      </w:r>
      <w:proofErr w:type="spellEnd"/>
      <w:r>
        <w:rPr>
          <w:rFonts w:ascii="Times New Roman" w:hAnsi="Times New Roman"/>
          <w:sz w:val="24"/>
          <w:szCs w:val="24"/>
          <w:shd w:val="clear" w:color="auto" w:fill="FFFFFF"/>
        </w:rPr>
        <w:t>/кіловат-година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w:t>
      </w:r>
      <w:r>
        <w:rPr>
          <w:rFonts w:ascii="Times New Roman" w:hAnsi="Times New Roman"/>
          <w:sz w:val="24"/>
          <w:szCs w:val="24"/>
        </w:rPr>
        <w:lastRenderedPageBreak/>
        <w:t>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w:t>
      </w:r>
      <w:proofErr w:type="spellStart"/>
      <w:r>
        <w:rPr>
          <w:rFonts w:ascii="Times New Roman" w:hAnsi="Times New Roman"/>
          <w:iCs/>
          <w:sz w:val="24"/>
          <w:szCs w:val="24"/>
        </w:rPr>
        <w:t>грн</w:t>
      </w:r>
      <w:proofErr w:type="spellEnd"/>
      <w:r>
        <w:rPr>
          <w:rFonts w:ascii="Times New Roman" w:hAnsi="Times New Roman"/>
          <w:iCs/>
          <w:sz w:val="24"/>
          <w:szCs w:val="24"/>
        </w:rPr>
        <w:t xml:space="preserve">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w:t>
      </w:r>
      <w:proofErr w:type="spellStart"/>
      <w:r>
        <w:rPr>
          <w:rFonts w:ascii="Times New Roman" w:hAnsi="Times New Roman"/>
          <w:iCs/>
          <w:sz w:val="24"/>
          <w:szCs w:val="24"/>
        </w:rPr>
        <w:t>год</w:t>
      </w:r>
      <w:proofErr w:type="spellEnd"/>
      <w:r>
        <w:rPr>
          <w:rFonts w:ascii="Times New Roman" w:hAnsi="Times New Roman"/>
          <w:iCs/>
          <w:sz w:val="24"/>
          <w:szCs w:val="24"/>
        </w:rPr>
        <w:t xml:space="preserve">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w:t>
      </w:r>
      <w:proofErr w:type="spellStart"/>
      <w:r w:rsidRPr="006269FB">
        <w:rPr>
          <w:rFonts w:ascii="Times New Roman" w:hAnsi="Times New Roman"/>
          <w:iCs/>
          <w:sz w:val="24"/>
          <w:szCs w:val="24"/>
        </w:rPr>
        <w:t>год</w:t>
      </w:r>
      <w:proofErr w:type="spellEnd"/>
      <w:r w:rsidRPr="006269FB">
        <w:rPr>
          <w:rFonts w:ascii="Times New Roman" w:hAnsi="Times New Roman"/>
          <w:iCs/>
          <w:sz w:val="24"/>
          <w:szCs w:val="24"/>
        </w:rPr>
        <w:t xml:space="preserve">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1626B059" w14:textId="77777777" w:rsidR="00F66625" w:rsidRPr="00795776" w:rsidRDefault="00F66625" w:rsidP="00F66625">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14618" w:type="dxa"/>
        <w:tblInd w:w="250" w:type="dxa"/>
        <w:tblLayout w:type="fixed"/>
        <w:tblLook w:val="0000" w:firstRow="0" w:lastRow="0" w:firstColumn="0" w:lastColumn="0" w:noHBand="0" w:noVBand="0"/>
      </w:tblPr>
      <w:tblGrid>
        <w:gridCol w:w="4860"/>
        <w:gridCol w:w="38"/>
        <w:gridCol w:w="4860"/>
        <w:gridCol w:w="4860"/>
      </w:tblGrid>
      <w:tr w:rsidR="00F66625" w:rsidRPr="00795776" w14:paraId="16EDBB1E" w14:textId="77777777" w:rsidTr="00C654AE">
        <w:trPr>
          <w:trHeight w:val="440"/>
        </w:trPr>
        <w:tc>
          <w:tcPr>
            <w:tcW w:w="4898" w:type="dxa"/>
            <w:gridSpan w:val="2"/>
            <w:vAlign w:val="center"/>
          </w:tcPr>
          <w:p w14:paraId="65480831" w14:textId="77777777" w:rsidR="00F66625" w:rsidRPr="00795776" w:rsidRDefault="00F66625" w:rsidP="00C654AE">
            <w:pPr>
              <w:spacing w:after="0" w:line="240" w:lineRule="auto"/>
              <w:rPr>
                <w:rFonts w:ascii="Times New Roman" w:hAnsi="Times New Roman"/>
                <w:b/>
                <w:sz w:val="24"/>
                <w:szCs w:val="24"/>
              </w:rPr>
            </w:pPr>
          </w:p>
        </w:tc>
        <w:tc>
          <w:tcPr>
            <w:tcW w:w="4860" w:type="dxa"/>
          </w:tcPr>
          <w:p w14:paraId="176F330B" w14:textId="77777777" w:rsidR="00F66625" w:rsidRPr="001873DB" w:rsidRDefault="00F66625" w:rsidP="00C654AE">
            <w:pPr>
              <w:spacing w:line="240" w:lineRule="auto"/>
              <w:rPr>
                <w:rFonts w:ascii="Cambria" w:hAnsi="Cambria"/>
                <w:b/>
                <w:i/>
                <w:sz w:val="23"/>
                <w:szCs w:val="23"/>
                <w:u w:val="single"/>
              </w:rPr>
            </w:pPr>
            <w:r w:rsidRPr="001873DB">
              <w:rPr>
                <w:rFonts w:ascii="Cambria" w:hAnsi="Cambria"/>
                <w:b/>
                <w:i/>
                <w:sz w:val="23"/>
                <w:szCs w:val="23"/>
                <w:u w:val="single"/>
              </w:rPr>
              <w:t>Комунальний заклад загальної середньої освіти «Княгининівський ліцей № 34 Луцької міської ради»</w:t>
            </w:r>
          </w:p>
          <w:p w14:paraId="2005EE69"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вул. Соборна 92, с.Княгининок, Луцького району Волинської області, 45630</w:t>
            </w:r>
          </w:p>
          <w:p w14:paraId="1E97FB94"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р/</w:t>
            </w:r>
            <w:proofErr w:type="spellStart"/>
            <w:r w:rsidRPr="001873DB">
              <w:rPr>
                <w:rFonts w:ascii="Cambria" w:hAnsi="Cambria"/>
                <w:b/>
                <w:sz w:val="23"/>
                <w:szCs w:val="23"/>
              </w:rPr>
              <w:t>р</w:t>
            </w:r>
            <w:proofErr w:type="spellEnd"/>
            <w:r w:rsidRPr="001873DB">
              <w:rPr>
                <w:rFonts w:ascii="Cambria" w:hAnsi="Cambria"/>
                <w:b/>
                <w:sz w:val="23"/>
                <w:szCs w:val="23"/>
              </w:rPr>
              <w:t xml:space="preserve"> _______________________________</w:t>
            </w:r>
          </w:p>
          <w:p w14:paraId="479B108A" w14:textId="77777777" w:rsidR="00F66625" w:rsidRPr="001873DB" w:rsidRDefault="00F66625" w:rsidP="00C654AE">
            <w:pPr>
              <w:spacing w:line="240" w:lineRule="auto"/>
              <w:rPr>
                <w:rFonts w:ascii="Cambria" w:hAnsi="Cambria"/>
                <w:b/>
                <w:sz w:val="23"/>
                <w:szCs w:val="23"/>
              </w:rPr>
            </w:pPr>
            <w:r w:rsidRPr="001873DB">
              <w:rPr>
                <w:rFonts w:ascii="Cambria" w:hAnsi="Cambria"/>
                <w:b/>
                <w:sz w:val="23"/>
                <w:szCs w:val="23"/>
              </w:rPr>
              <w:t>МФО __________ ЄДРПОУ 41523348</w:t>
            </w:r>
          </w:p>
        </w:tc>
        <w:tc>
          <w:tcPr>
            <w:tcW w:w="4860" w:type="dxa"/>
          </w:tcPr>
          <w:p w14:paraId="22D66BAE" w14:textId="77777777" w:rsidR="00F66625" w:rsidRPr="00797737" w:rsidRDefault="00F66625" w:rsidP="00C654AE">
            <w:pPr>
              <w:rPr>
                <w:rFonts w:ascii="Cambria" w:hAnsi="Cambria"/>
                <w:b/>
                <w:i/>
                <w:sz w:val="23"/>
                <w:szCs w:val="23"/>
                <w:u w:val="single"/>
              </w:rPr>
            </w:pPr>
          </w:p>
        </w:tc>
      </w:tr>
      <w:tr w:rsidR="00F66625" w:rsidRPr="00795776" w14:paraId="0AB8E0CB" w14:textId="77777777" w:rsidTr="00C654AE">
        <w:trPr>
          <w:gridAfter w:val="3"/>
          <w:wAfter w:w="9758" w:type="dxa"/>
          <w:trHeight w:val="2057"/>
        </w:trPr>
        <w:tc>
          <w:tcPr>
            <w:tcW w:w="4860" w:type="dxa"/>
          </w:tcPr>
          <w:p w14:paraId="39303D9F" w14:textId="77777777" w:rsidR="00F66625" w:rsidRPr="00797737" w:rsidRDefault="00F66625" w:rsidP="00C654AE">
            <w:pPr>
              <w:rPr>
                <w:rFonts w:ascii="Cambria" w:hAnsi="Cambria"/>
                <w:b/>
                <w:sz w:val="23"/>
                <w:szCs w:val="23"/>
              </w:rPr>
            </w:pPr>
          </w:p>
        </w:tc>
      </w:tr>
      <w:tr w:rsidR="00F66625" w:rsidRPr="00795776" w14:paraId="2D9007B2" w14:textId="77777777" w:rsidTr="00C654AE">
        <w:trPr>
          <w:trHeight w:val="255"/>
        </w:trPr>
        <w:tc>
          <w:tcPr>
            <w:tcW w:w="4898" w:type="dxa"/>
            <w:gridSpan w:val="2"/>
          </w:tcPr>
          <w:p w14:paraId="71949207" w14:textId="77777777" w:rsidR="00F66625" w:rsidRDefault="00F66625" w:rsidP="00C654AE">
            <w:pPr>
              <w:spacing w:after="0" w:line="240" w:lineRule="auto"/>
              <w:rPr>
                <w:rFonts w:ascii="Times New Roman" w:hAnsi="Times New Roman"/>
                <w:spacing w:val="-4"/>
                <w:sz w:val="24"/>
                <w:szCs w:val="24"/>
                <w:u w:val="single"/>
              </w:rPr>
            </w:pPr>
          </w:p>
          <w:p w14:paraId="6BB2FEEA" w14:textId="77777777" w:rsidR="00F66625" w:rsidRPr="00795776" w:rsidRDefault="00F66625" w:rsidP="00C654AE">
            <w:pPr>
              <w:spacing w:after="0" w:line="240" w:lineRule="auto"/>
              <w:rPr>
                <w:rFonts w:ascii="Times New Roman" w:hAnsi="Times New Roman"/>
                <w:spacing w:val="-4"/>
                <w:sz w:val="24"/>
                <w:szCs w:val="24"/>
                <w:u w:val="single"/>
              </w:rPr>
            </w:pPr>
          </w:p>
          <w:p w14:paraId="4CEA5842" w14:textId="77777777" w:rsidR="00F66625" w:rsidRPr="00795776" w:rsidRDefault="00F66625" w:rsidP="00C654AE">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5548C28D" w14:textId="77777777" w:rsidR="00F66625" w:rsidRDefault="00F66625" w:rsidP="00C654AE">
            <w:pPr>
              <w:spacing w:after="0" w:line="240" w:lineRule="auto"/>
              <w:rPr>
                <w:rFonts w:ascii="Times New Roman" w:hAnsi="Times New Roman"/>
                <w:spacing w:val="-4"/>
                <w:sz w:val="24"/>
                <w:szCs w:val="24"/>
              </w:rPr>
            </w:pPr>
            <w:r w:rsidRPr="00795776">
              <w:rPr>
                <w:rFonts w:ascii="Times New Roman" w:hAnsi="Times New Roman"/>
                <w:spacing w:val="-4"/>
                <w:sz w:val="24"/>
                <w:szCs w:val="24"/>
              </w:rPr>
              <w:t>М.П.</w:t>
            </w:r>
          </w:p>
          <w:p w14:paraId="635C8E9C" w14:textId="77777777" w:rsidR="00F66625" w:rsidRPr="00795776" w:rsidRDefault="00F66625" w:rsidP="00C654AE">
            <w:pPr>
              <w:spacing w:after="0" w:line="240" w:lineRule="auto"/>
              <w:rPr>
                <w:rFonts w:ascii="Times New Roman" w:hAnsi="Times New Roman"/>
                <w:sz w:val="24"/>
                <w:szCs w:val="24"/>
              </w:rPr>
            </w:pPr>
          </w:p>
        </w:tc>
        <w:tc>
          <w:tcPr>
            <w:tcW w:w="4860" w:type="dxa"/>
          </w:tcPr>
          <w:p w14:paraId="70D7EC62" w14:textId="77777777" w:rsidR="00F66625" w:rsidRPr="001873DB" w:rsidRDefault="00F66625"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______________________Л.К. Хом’як</w:t>
            </w:r>
          </w:p>
          <w:p w14:paraId="26945328" w14:textId="77777777" w:rsidR="00F66625" w:rsidRPr="001873DB" w:rsidRDefault="00F66625" w:rsidP="00C654AE">
            <w:pPr>
              <w:pStyle w:val="NormalUkr"/>
              <w:tabs>
                <w:tab w:val="left" w:pos="5103"/>
                <w:tab w:val="left" w:pos="8789"/>
              </w:tabs>
              <w:rPr>
                <w:rFonts w:ascii="Cambria" w:hAnsi="Cambria"/>
                <w:b/>
                <w:sz w:val="23"/>
                <w:szCs w:val="23"/>
                <w:lang w:val="uk-UA"/>
              </w:rPr>
            </w:pPr>
            <w:r w:rsidRPr="001873DB">
              <w:rPr>
                <w:rFonts w:ascii="Cambria" w:hAnsi="Cambria"/>
                <w:b/>
                <w:sz w:val="23"/>
                <w:szCs w:val="23"/>
                <w:lang w:val="uk-UA"/>
              </w:rPr>
              <w:t xml:space="preserve"> М.П.</w:t>
            </w:r>
          </w:p>
          <w:p w14:paraId="2346DA35" w14:textId="77777777" w:rsidR="00F66625" w:rsidRPr="001873DB" w:rsidRDefault="00F66625" w:rsidP="00C654AE">
            <w:pPr>
              <w:pStyle w:val="NormalUkr"/>
              <w:tabs>
                <w:tab w:val="left" w:pos="5103"/>
                <w:tab w:val="left" w:pos="8789"/>
              </w:tabs>
              <w:rPr>
                <w:rFonts w:ascii="Cambria" w:hAnsi="Cambria"/>
                <w:b/>
                <w:sz w:val="23"/>
                <w:szCs w:val="23"/>
                <w:lang w:val="uk-UA"/>
              </w:rPr>
            </w:pPr>
            <w:r>
              <w:rPr>
                <w:rFonts w:ascii="Cambria" w:hAnsi="Cambria"/>
                <w:b/>
                <w:sz w:val="23"/>
                <w:szCs w:val="23"/>
                <w:lang w:val="uk-UA"/>
              </w:rPr>
              <w:t>“______”_____________ 20___</w:t>
            </w:r>
            <w:r w:rsidRPr="001873DB">
              <w:rPr>
                <w:rFonts w:ascii="Cambria" w:hAnsi="Cambria"/>
                <w:b/>
                <w:sz w:val="23"/>
                <w:szCs w:val="23"/>
                <w:lang w:val="uk-UA"/>
              </w:rPr>
              <w:t>р.</w:t>
            </w:r>
          </w:p>
        </w:tc>
        <w:tc>
          <w:tcPr>
            <w:tcW w:w="4860" w:type="dxa"/>
          </w:tcPr>
          <w:p w14:paraId="702DF154" w14:textId="77777777" w:rsidR="00F66625" w:rsidRPr="00797737" w:rsidRDefault="00F66625" w:rsidP="00C654AE">
            <w:pPr>
              <w:rPr>
                <w:rFonts w:ascii="Cambria" w:hAnsi="Cambria"/>
                <w:b/>
                <w:sz w:val="23"/>
                <w:szCs w:val="23"/>
              </w:rPr>
            </w:pPr>
          </w:p>
        </w:tc>
      </w:tr>
    </w:tbl>
    <w:p w14:paraId="71418DE7" w14:textId="77777777" w:rsidR="00361C32" w:rsidRPr="00795776" w:rsidRDefault="00361C32" w:rsidP="00F66625">
      <w:pPr>
        <w:rPr>
          <w:rFonts w:ascii="Times New Roman" w:hAnsi="Times New Roman"/>
          <w:b/>
          <w:sz w:val="24"/>
          <w:szCs w:val="24"/>
          <w:lang w:eastAsia="ru-RU"/>
        </w:rPr>
      </w:pPr>
    </w:p>
    <w:sectPr w:rsidR="00361C32" w:rsidRPr="00795776" w:rsidSect="0057684F">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06069" w14:textId="77777777" w:rsidR="0066098E" w:rsidRDefault="0066098E">
      <w:pPr>
        <w:spacing w:after="0" w:line="240" w:lineRule="auto"/>
      </w:pPr>
      <w:r>
        <w:separator/>
      </w:r>
    </w:p>
  </w:endnote>
  <w:endnote w:type="continuationSeparator" w:id="0">
    <w:p w14:paraId="1803EAC5" w14:textId="77777777" w:rsidR="0066098E" w:rsidRDefault="006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584C" w14:textId="77777777" w:rsidR="0066098E" w:rsidRDefault="0066098E">
      <w:pPr>
        <w:spacing w:after="0" w:line="240" w:lineRule="auto"/>
      </w:pPr>
      <w:r>
        <w:separator/>
      </w:r>
    </w:p>
  </w:footnote>
  <w:footnote w:type="continuationSeparator" w:id="0">
    <w:p w14:paraId="4B900C10" w14:textId="77777777" w:rsidR="0066098E" w:rsidRDefault="00660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E3AD910"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42E74" w:rsidRPr="00042E74">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05AA7"/>
    <w:rsid w:val="00010104"/>
    <w:rsid w:val="000222A6"/>
    <w:rsid w:val="00042E74"/>
    <w:rsid w:val="00051006"/>
    <w:rsid w:val="000545A4"/>
    <w:rsid w:val="000753AD"/>
    <w:rsid w:val="000A22B1"/>
    <w:rsid w:val="000A6AAB"/>
    <w:rsid w:val="000A765B"/>
    <w:rsid w:val="000B2C0E"/>
    <w:rsid w:val="000C690B"/>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26298"/>
    <w:rsid w:val="00544E9E"/>
    <w:rsid w:val="00552290"/>
    <w:rsid w:val="00587469"/>
    <w:rsid w:val="005B32AD"/>
    <w:rsid w:val="0066098E"/>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E54B8"/>
    <w:rsid w:val="00BF782A"/>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E0BC9"/>
    <w:rsid w:val="00F439C5"/>
    <w:rsid w:val="00F45702"/>
    <w:rsid w:val="00F46A6E"/>
    <w:rsid w:val="00F66625"/>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customStyle="1" w:styleId="NormalUkr">
    <w:name w:val="NormalUkr"/>
    <w:basedOn w:val="a"/>
    <w:rsid w:val="00005AA7"/>
    <w:pPr>
      <w:autoSpaceDE w:val="0"/>
      <w:autoSpaceDN w:val="0"/>
      <w:spacing w:after="0" w:line="240" w:lineRule="auto"/>
    </w:pPr>
    <w:rPr>
      <w:rFonts w:ascii="Times New Roman" w:eastAsia="Times New Roman" w:hAnsi="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paragraph" w:customStyle="1" w:styleId="NormalUkr">
    <w:name w:val="NormalUkr"/>
    <w:basedOn w:val="a"/>
    <w:rsid w:val="00005AA7"/>
    <w:pPr>
      <w:autoSpaceDE w:val="0"/>
      <w:autoSpaceDN w:val="0"/>
      <w:spacing w:after="0" w:line="240" w:lineRule="auto"/>
    </w:pPr>
    <w:rPr>
      <w:rFonts w:ascii="Times New Roman" w:eastAsia="Times New Roman" w:hAnsi="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FE10-75F6-4BA5-8F81-F4FB4731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40473</Words>
  <Characters>23071</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12</cp:revision>
  <dcterms:created xsi:type="dcterms:W3CDTF">2023-11-28T11:05:00Z</dcterms:created>
  <dcterms:modified xsi:type="dcterms:W3CDTF">2024-01-02T13:55:00Z</dcterms:modified>
</cp:coreProperties>
</file>