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604260"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082AEE"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6ACCCE2" w:rsidR="00A04952" w:rsidRPr="000305F8" w:rsidRDefault="00604260" w:rsidP="00A0495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2FD20842"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604260">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58C6757D"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виконання робіт (акти приймання виконаних робіт; довідки про вартість виконаних робіт, які підтверджують виконання аналогічного договору в повному </w:t>
            </w:r>
            <w:proofErr w:type="spellStart"/>
            <w:r w:rsidRPr="000305F8">
              <w:rPr>
                <w:rStyle w:val="13"/>
                <w:sz w:val="24"/>
                <w:szCs w:val="24"/>
                <w:lang w:val="uk-UA"/>
              </w:rPr>
              <w:t>обʼємі</w:t>
            </w:r>
            <w:proofErr w:type="spellEnd"/>
            <w:r w:rsidRPr="000305F8">
              <w:rPr>
                <w:rStyle w:val="13"/>
                <w:sz w:val="24"/>
                <w:szCs w:val="24"/>
                <w:lang w:val="uk-UA"/>
              </w:rPr>
              <w:t>);</w:t>
            </w:r>
          </w:p>
          <w:p w14:paraId="6D588DD2" w14:textId="67DC016B" w:rsidR="001A6211" w:rsidRPr="00196A48"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00082AEE">
              <w:rPr>
                <w:rStyle w:val="13"/>
                <w:sz w:val="24"/>
                <w:szCs w:val="24"/>
                <w:lang w:val="uk-UA"/>
              </w:rPr>
              <w:t>довідку</w:t>
            </w:r>
            <w:r w:rsidRPr="00E35841">
              <w:rPr>
                <w:rStyle w:val="13"/>
                <w:sz w:val="24"/>
                <w:szCs w:val="24"/>
                <w:lang w:val="uk-UA"/>
              </w:rPr>
              <w:t xml:space="preserve"> за аналогічним (-и) договором (-</w:t>
            </w:r>
            <w:proofErr w:type="spellStart"/>
            <w:r w:rsidRPr="00E35841">
              <w:rPr>
                <w:rStyle w:val="13"/>
                <w:sz w:val="24"/>
                <w:szCs w:val="24"/>
                <w:lang w:val="uk-UA"/>
              </w:rPr>
              <w:t>ами</w:t>
            </w:r>
            <w:proofErr w:type="spellEnd"/>
            <w:r w:rsidRPr="00E35841">
              <w:rPr>
                <w:rStyle w:val="13"/>
                <w:sz w:val="24"/>
                <w:szCs w:val="24"/>
                <w:lang w:val="uk-UA"/>
              </w:rPr>
              <w:t xml:space="preserve">) (згідно з довідкою у формі по Таблиці </w:t>
            </w:r>
            <w:r w:rsidR="00604260">
              <w:rPr>
                <w:rStyle w:val="13"/>
                <w:sz w:val="24"/>
                <w:szCs w:val="24"/>
                <w:lang w:val="uk-UA"/>
              </w:rPr>
              <w:t>1</w:t>
            </w:r>
            <w:r w:rsidRPr="00E35841">
              <w:rPr>
                <w:rStyle w:val="13"/>
                <w:sz w:val="24"/>
                <w:szCs w:val="24"/>
                <w:lang w:val="uk-UA"/>
              </w:rPr>
              <w:t>), із зазначенням дати, номеру, предмету, ціни та суми виконаних робіт згідно з договором.</w:t>
            </w:r>
          </w:p>
        </w:tc>
      </w:tr>
    </w:tbl>
    <w:p w14:paraId="03CF6205" w14:textId="77777777" w:rsidR="00A04952" w:rsidRPr="00412F65" w:rsidRDefault="00A04952" w:rsidP="00A04952">
      <w:pPr>
        <w:pStyle w:val="11"/>
        <w:spacing w:line="240" w:lineRule="auto"/>
        <w:jc w:val="right"/>
        <w:rPr>
          <w:rStyle w:val="13"/>
          <w:sz w:val="24"/>
        </w:rPr>
      </w:pPr>
    </w:p>
    <w:p w14:paraId="45F015FC" w14:textId="62CC3CF2"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604260">
        <w:rPr>
          <w:rStyle w:val="13"/>
          <w:sz w:val="24"/>
          <w:lang w:val="uk-UA"/>
        </w:rPr>
        <w:t>1</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w:t>
      </w:r>
      <w:r w:rsidRPr="006B13F8">
        <w:rPr>
          <w:color w:val="000000" w:themeColor="text1"/>
          <w:lang w:val="uk-UA"/>
        </w:rPr>
        <w:lastRenderedPageBreak/>
        <w:t>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604260"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77777777"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Довідка надається в період відсутності функціональної можливості перевірки інформації на </w:t>
            </w:r>
            <w:proofErr w:type="spellStart"/>
            <w:r w:rsidRPr="000305F8">
              <w:rPr>
                <w:bCs/>
                <w:color w:val="000000"/>
                <w:lang w:val="uk-UA"/>
              </w:rPr>
              <w:t>вебресурсі</w:t>
            </w:r>
            <w:proofErr w:type="spellEnd"/>
            <w:r w:rsidRPr="000305F8">
              <w:rPr>
                <w:bCs/>
                <w:color w:val="000000"/>
                <w:lang w:val="uk-UA"/>
              </w:rPr>
              <w:t xml:space="preserve"> Єдиного державного реєстру осіб, які вчинили корупційні або пов’язані з корупцією </w:t>
            </w:r>
            <w:r w:rsidRPr="000305F8">
              <w:rPr>
                <w:bCs/>
                <w:color w:val="000000"/>
                <w:lang w:val="uk-UA"/>
              </w:rPr>
              <w:lastRenderedPageBreak/>
              <w:t>правопорушення, яка не стосується запитувача.</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lastRenderedPageBreak/>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604260"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604260"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lastRenderedPageBreak/>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77777777"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Довідка надається в період відсутності функціональної можливості перевірки інформації на </w:t>
            </w:r>
            <w:proofErr w:type="spellStart"/>
            <w:r w:rsidRPr="000305F8">
              <w:rPr>
                <w:bCs/>
                <w:color w:val="000000"/>
                <w:lang w:val="uk-UA"/>
              </w:rPr>
              <w:t>вебресурсі</w:t>
            </w:r>
            <w:proofErr w:type="spellEnd"/>
            <w:r w:rsidRPr="000305F8">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604260"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0305F8">
              <w:rPr>
                <w:bCs/>
                <w:color w:val="000000" w:themeColor="text1"/>
                <w:lang w:val="uk-UA"/>
              </w:rPr>
              <w:lastRenderedPageBreak/>
              <w:t>відповідні зобов’язання та відшкодування завданих збитків.</w:t>
            </w:r>
          </w:p>
        </w:tc>
      </w:tr>
    </w:tbl>
    <w:p w14:paraId="7792C0F1" w14:textId="77777777" w:rsidR="000305F8" w:rsidRDefault="000305F8"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604260"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4213CDAF" w:rsidR="00822440" w:rsidRPr="000305F8" w:rsidRDefault="00822440" w:rsidP="00332780">
                  <w:pPr>
                    <w:keepLines/>
                    <w:autoSpaceDE w:val="0"/>
                    <w:autoSpaceDN w:val="0"/>
                    <w:ind w:firstLine="725"/>
                    <w:jc w:val="both"/>
                    <w:rPr>
                      <w:rStyle w:val="13"/>
                      <w:bCs/>
                      <w:lang w:val="uk-UA"/>
                    </w:rPr>
                  </w:pPr>
                  <w:r w:rsidRPr="000305F8">
                    <w:rPr>
                      <w:rStyle w:val="13"/>
                      <w:bCs/>
                      <w:lang w:val="uk-UA"/>
                    </w:rPr>
                    <w:t>Ми, (назва учасника), надаємо свою пропозицію щодо участі у відкритих торгах з особливостями на закупівлю послуг</w:t>
                  </w:r>
                  <w:r w:rsidR="00A44449">
                    <w:rPr>
                      <w:rStyle w:val="13"/>
                      <w:bCs/>
                      <w:lang w:val="uk-UA"/>
                    </w:rPr>
                    <w:t xml:space="preserve"> «</w:t>
                  </w:r>
                  <w:r w:rsidR="00604260" w:rsidRPr="00604260">
                    <w:rPr>
                      <w:bCs/>
                      <w:color w:val="000000"/>
                      <w:lang w:val="uk-UA"/>
                    </w:rPr>
                    <w:t>Швидкоспоруджувана модульна споруда для улаштування найпростішого укриття</w:t>
                  </w:r>
                  <w:r w:rsidR="00A44449">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604260" w:rsidRPr="00604260">
                    <w:rPr>
                      <w:rFonts w:eastAsia="Calibri"/>
                      <w:bCs/>
                      <w:shd w:val="clear" w:color="auto" w:fill="FFFFFF"/>
                      <w:lang w:val="uk-UA" w:eastAsia="en-US"/>
                    </w:rPr>
                    <w:t xml:space="preserve">44210000-5 </w:t>
                  </w:r>
                  <w:r w:rsidR="002154E9">
                    <w:rPr>
                      <w:rFonts w:eastAsia="Calibri"/>
                      <w:bCs/>
                      <w:shd w:val="clear" w:color="auto" w:fill="FFFFFF"/>
                      <w:lang w:val="uk-UA" w:eastAsia="en-US"/>
                    </w:rPr>
                    <w:t>–</w:t>
                  </w:r>
                  <w:r w:rsidR="00DB45A1" w:rsidRPr="000305F8">
                    <w:rPr>
                      <w:rFonts w:eastAsia="Calibri"/>
                      <w:bCs/>
                      <w:shd w:val="clear" w:color="auto" w:fill="FFFFFF"/>
                      <w:lang w:val="uk-UA" w:eastAsia="en-US"/>
                    </w:rPr>
                    <w:t xml:space="preserve"> </w:t>
                  </w:r>
                  <w:r w:rsidR="00604260" w:rsidRPr="00604260">
                    <w:rPr>
                      <w:rFonts w:eastAsia="Calibri"/>
                      <w:bCs/>
                      <w:shd w:val="clear" w:color="auto" w:fill="FFFFFF"/>
                      <w:lang w:val="uk-UA" w:eastAsia="en-US"/>
                    </w:rPr>
                    <w:t>конструкції та їх частини</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0EB953E6"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002154E9">
                    <w:rPr>
                      <w:rStyle w:val="13"/>
                      <w:bCs/>
                      <w:lang w:val="uk-UA"/>
                    </w:rPr>
                    <w:t>послуги з л</w:t>
                  </w:r>
                  <w:r w:rsidR="002154E9" w:rsidRPr="002154E9">
                    <w:rPr>
                      <w:bCs/>
                      <w:lang w:val="uk-UA"/>
                    </w:rPr>
                    <w:t>іквідаці</w:t>
                  </w:r>
                  <w:r w:rsidR="002154E9">
                    <w:rPr>
                      <w:bCs/>
                      <w:lang w:val="uk-UA"/>
                    </w:rPr>
                    <w:t>ї</w:t>
                  </w:r>
                  <w:r w:rsidR="002154E9" w:rsidRPr="002154E9">
                    <w:rPr>
                      <w:bCs/>
                      <w:lang w:val="uk-UA"/>
                    </w:rPr>
                    <w:t xml:space="preserve"> несанкціонованих сміттєзвалищ, вивіз сміття на території Дружківської міської територіальної громади</w:t>
                  </w:r>
                  <w:r w:rsidR="002154E9" w:rsidRPr="002154E9">
                    <w:rPr>
                      <w:rStyle w:val="13"/>
                      <w:bCs/>
                      <w:lang w:val="uk-UA"/>
                    </w:rPr>
                    <w:t xml:space="preserve">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lastRenderedPageBreak/>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A43F" w14:textId="77777777" w:rsidR="00C81106" w:rsidRDefault="00C81106">
      <w:r>
        <w:separator/>
      </w:r>
    </w:p>
  </w:endnote>
  <w:endnote w:type="continuationSeparator" w:id="0">
    <w:p w14:paraId="4D811E2B" w14:textId="77777777" w:rsidR="00C81106" w:rsidRDefault="00C8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CA84" w14:textId="77777777" w:rsidR="00C81106" w:rsidRDefault="00C81106">
      <w:r>
        <w:separator/>
      </w:r>
    </w:p>
  </w:footnote>
  <w:footnote w:type="continuationSeparator" w:id="0">
    <w:p w14:paraId="6E280189" w14:textId="77777777" w:rsidR="00C81106" w:rsidRDefault="00C81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305F8"/>
    <w:rsid w:val="00082AEE"/>
    <w:rsid w:val="000D7E82"/>
    <w:rsid w:val="000F61B9"/>
    <w:rsid w:val="00106137"/>
    <w:rsid w:val="001260FB"/>
    <w:rsid w:val="00127004"/>
    <w:rsid w:val="001358C6"/>
    <w:rsid w:val="0013724B"/>
    <w:rsid w:val="00146108"/>
    <w:rsid w:val="00170FF5"/>
    <w:rsid w:val="001774FC"/>
    <w:rsid w:val="00180179"/>
    <w:rsid w:val="00196A48"/>
    <w:rsid w:val="001A49A3"/>
    <w:rsid w:val="001A50C3"/>
    <w:rsid w:val="001A6211"/>
    <w:rsid w:val="001B76BA"/>
    <w:rsid w:val="001C5D0D"/>
    <w:rsid w:val="001E1323"/>
    <w:rsid w:val="001E2500"/>
    <w:rsid w:val="002154E9"/>
    <w:rsid w:val="002A5740"/>
    <w:rsid w:val="002A6652"/>
    <w:rsid w:val="002B1B53"/>
    <w:rsid w:val="002B7F13"/>
    <w:rsid w:val="002C5A88"/>
    <w:rsid w:val="003164ED"/>
    <w:rsid w:val="003176CA"/>
    <w:rsid w:val="00332780"/>
    <w:rsid w:val="00336A77"/>
    <w:rsid w:val="00394084"/>
    <w:rsid w:val="003C1EC3"/>
    <w:rsid w:val="003C2E26"/>
    <w:rsid w:val="00423B94"/>
    <w:rsid w:val="00463539"/>
    <w:rsid w:val="00484C9C"/>
    <w:rsid w:val="004E68BE"/>
    <w:rsid w:val="00502D5B"/>
    <w:rsid w:val="00521E29"/>
    <w:rsid w:val="005404B6"/>
    <w:rsid w:val="005C1463"/>
    <w:rsid w:val="005C19FA"/>
    <w:rsid w:val="005C43E3"/>
    <w:rsid w:val="005C6C0B"/>
    <w:rsid w:val="005E2679"/>
    <w:rsid w:val="00604260"/>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760D0"/>
    <w:rsid w:val="007B59B5"/>
    <w:rsid w:val="007F4982"/>
    <w:rsid w:val="00812F40"/>
    <w:rsid w:val="00822440"/>
    <w:rsid w:val="00825A74"/>
    <w:rsid w:val="00837A0B"/>
    <w:rsid w:val="00885161"/>
    <w:rsid w:val="008A21EE"/>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500D5"/>
    <w:rsid w:val="00C54B00"/>
    <w:rsid w:val="00C81106"/>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12390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2</cp:revision>
  <cp:lastPrinted>2022-07-05T14:28:00Z</cp:lastPrinted>
  <dcterms:created xsi:type="dcterms:W3CDTF">2023-08-29T07:27:00Z</dcterms:created>
  <dcterms:modified xsi:type="dcterms:W3CDTF">2023-08-29T07:27:00Z</dcterms:modified>
</cp:coreProperties>
</file>