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0127FD" w:rsidRDefault="00F249F3" w:rsidP="00EA2161">
            <w:pPr>
              <w:pBdr>
                <w:top w:val="nil"/>
                <w:left w:val="nil"/>
                <w:bottom w:val="nil"/>
                <w:right w:val="nil"/>
                <w:between w:val="nil"/>
              </w:pBdr>
              <w:shd w:val="clear" w:color="auto" w:fill="FFFFFF"/>
              <w:ind w:left="1723"/>
              <w:rPr>
                <w:bCs/>
              </w:rPr>
            </w:pPr>
            <w:bookmarkStart w:id="0" w:name="_Hlk131684989"/>
            <w:r w:rsidRPr="000127FD">
              <w:rPr>
                <w:bCs/>
              </w:rPr>
              <w:t>«ЗАТВЕРДЖЕНО»:</w:t>
            </w:r>
          </w:p>
          <w:p w14:paraId="5C3BD7AA" w14:textId="77777777" w:rsidR="00F249F3" w:rsidRPr="000127FD" w:rsidRDefault="00F249F3" w:rsidP="00EA2161">
            <w:pPr>
              <w:pBdr>
                <w:top w:val="nil"/>
                <w:left w:val="nil"/>
                <w:bottom w:val="nil"/>
                <w:right w:val="nil"/>
                <w:between w:val="nil"/>
              </w:pBdr>
              <w:shd w:val="clear" w:color="auto" w:fill="FFFFFF"/>
              <w:ind w:left="1723"/>
              <w:rPr>
                <w:bCs/>
              </w:rPr>
            </w:pPr>
            <w:r w:rsidRPr="000127FD">
              <w:rPr>
                <w:bCs/>
              </w:rPr>
              <w:t>Рішенням Уповноваженої особи</w:t>
            </w:r>
            <w:r w:rsidRPr="000127FD">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1F20B3CC" w:rsidR="00F249F3" w:rsidRPr="000127FD" w:rsidRDefault="00F249F3" w:rsidP="00EA2161">
            <w:pPr>
              <w:pBdr>
                <w:top w:val="nil"/>
                <w:left w:val="nil"/>
                <w:bottom w:val="nil"/>
                <w:right w:val="nil"/>
                <w:between w:val="nil"/>
              </w:pBdr>
              <w:shd w:val="clear" w:color="auto" w:fill="FFFFFF"/>
              <w:ind w:left="1723"/>
            </w:pPr>
            <w:r w:rsidRPr="000127FD">
              <w:t xml:space="preserve">Протокол </w:t>
            </w:r>
            <w:r w:rsidR="00534ACE" w:rsidRPr="000127FD">
              <w:t xml:space="preserve">№ </w:t>
            </w:r>
            <w:r w:rsidR="000127FD">
              <w:t>50</w:t>
            </w:r>
            <w:r w:rsidRPr="000127FD">
              <w:t xml:space="preserve"> від </w:t>
            </w:r>
            <w:r w:rsidR="000127FD">
              <w:t>04.09</w:t>
            </w:r>
            <w:r w:rsidR="00B33040" w:rsidRPr="000127FD">
              <w:t xml:space="preserve">.2023 </w:t>
            </w:r>
            <w:r w:rsidRPr="000127FD">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58CC9688"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44210000-5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1998E3A9" w14:textId="1DECFE35" w:rsidR="00290216" w:rsidRPr="00290216" w:rsidRDefault="00A4269B" w:rsidP="00290216">
      <w:pPr>
        <w:tabs>
          <w:tab w:val="left" w:pos="3654"/>
        </w:tabs>
        <w:jc w:val="center"/>
        <w:rPr>
          <w:b/>
          <w:snapToGrid w:val="0"/>
          <w:kern w:val="28"/>
        </w:rPr>
      </w:pPr>
      <w:bookmarkStart w:id="2" w:name="_Hlk143682336"/>
      <w:r>
        <w:rPr>
          <w:b/>
          <w:snapToGrid w:val="0"/>
          <w:kern w:val="28"/>
        </w:rPr>
        <w:t>«</w:t>
      </w:r>
      <w:r w:rsidR="003A1FFA" w:rsidRPr="003A1FFA">
        <w:rPr>
          <w:b/>
          <w:snapToGrid w:val="0"/>
          <w:kern w:val="28"/>
        </w:rPr>
        <w:t>Швидкоспоруджувана модульна споруда для улаштування найпростішого укриття</w:t>
      </w:r>
      <w:r>
        <w:rPr>
          <w:b/>
          <w:snapToGrid w:val="0"/>
          <w:kern w:val="28"/>
        </w:rPr>
        <w:t>»</w:t>
      </w:r>
    </w:p>
    <w:bookmarkEnd w:id="2"/>
    <w:p w14:paraId="139D583B" w14:textId="60CD3AD3" w:rsidR="00B301A7" w:rsidRDefault="00290216" w:rsidP="00290216">
      <w:pPr>
        <w:tabs>
          <w:tab w:val="left" w:pos="3654"/>
        </w:tabs>
        <w:jc w:val="center"/>
        <w:rPr>
          <w:rFonts w:eastAsia="Calibri"/>
          <w:b/>
          <w:bCs/>
          <w:shd w:val="clear" w:color="auto" w:fill="FFFFFF"/>
          <w:lang w:eastAsia="en-US"/>
        </w:rPr>
      </w:pPr>
      <w:r w:rsidRPr="00290216">
        <w:rPr>
          <w:b/>
          <w:snapToGrid w:val="0"/>
          <w:kern w:val="28"/>
        </w:rPr>
        <w:t>(</w:t>
      </w:r>
      <w:r w:rsidR="003A1FFA">
        <w:rPr>
          <w:b/>
          <w:snapToGrid w:val="0"/>
          <w:kern w:val="28"/>
        </w:rPr>
        <w:t>к</w:t>
      </w:r>
      <w:r w:rsidR="003A1FFA" w:rsidRPr="003A1FFA">
        <w:rPr>
          <w:b/>
          <w:snapToGrid w:val="0"/>
          <w:kern w:val="28"/>
        </w:rPr>
        <w:t>онструкції та їх частини</w:t>
      </w:r>
      <w:r w:rsidR="00C90BB1">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54B6BA6F" w:rsidR="00E70913" w:rsidRPr="00EA2161" w:rsidRDefault="003A1FFA" w:rsidP="003D08A9">
            <w:pPr>
              <w:suppressAutoHyphens/>
              <w:ind w:left="6" w:firstLine="142"/>
              <w:jc w:val="both"/>
              <w:rPr>
                <w:rFonts w:eastAsia="Tahoma"/>
                <w:bCs/>
                <w:lang w:eastAsia="zh-CN" w:bidi="hi-IN"/>
              </w:rPr>
            </w:pPr>
            <w:r w:rsidRPr="003A1FFA">
              <w:rPr>
                <w:rFonts w:eastAsia="Tahoma"/>
                <w:lang w:eastAsia="zh-CN" w:bidi="hi-IN"/>
              </w:rPr>
              <w:t>Швидкоспоруджувана захисна споруда цивільного захисту модульного типу  (ДК 021:2015. 44210000-5 Конструкції та їх частини)</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1E5662F0"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Pr>
                <w:bCs/>
                <w:color w:val="000000"/>
              </w:rPr>
              <w:t>15</w:t>
            </w:r>
            <w:r w:rsidRPr="00F161AD">
              <w:rPr>
                <w:bCs/>
                <w:color w:val="000000"/>
              </w:rPr>
              <w:t xml:space="preserve"> </w:t>
            </w:r>
            <w:r>
              <w:rPr>
                <w:bCs/>
                <w:color w:val="000000"/>
              </w:rPr>
              <w:t>листопада</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w:t>
            </w:r>
            <w:r w:rsidRPr="003D08A9">
              <w:rPr>
                <w:rFonts w:eastAsia="Tahoma"/>
                <w:lang w:eastAsia="zh-CN" w:bidi="hi-IN"/>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70913" w:rsidRPr="00EA2161">
              <w:rPr>
                <w:rFonts w:eastAsia="Tahoma"/>
                <w:lang w:eastAsia="zh-CN" w:bidi="hi-IN"/>
              </w:rPr>
              <w:t>машинозчитувальному</w:t>
            </w:r>
            <w:proofErr w:type="spellEnd"/>
            <w:r w:rsidR="00E70913" w:rsidRPr="00EA2161">
              <w:rPr>
                <w:rFonts w:eastAsia="Tahoma"/>
                <w:lang w:eastAsia="zh-CN" w:bidi="hi-IN"/>
              </w:rPr>
              <w:t xml:space="preserve"> форматі </w:t>
            </w:r>
            <w:r w:rsidR="00E70913" w:rsidRPr="00EA2161">
              <w:rPr>
                <w:rFonts w:eastAsia="Tahoma"/>
                <w:lang w:eastAsia="zh-CN" w:bidi="hi-IN"/>
              </w:rPr>
              <w:lastRenderedPageBreak/>
              <w:t>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0FC9">
              <w:rPr>
                <w:bCs/>
                <w:color w:val="000000"/>
              </w:rPr>
              <w:t>скан</w:t>
            </w:r>
            <w:proofErr w:type="spellEnd"/>
            <w:r w:rsidRPr="008E0FC9">
              <w:rPr>
                <w:bCs/>
                <w:color w:val="000000"/>
              </w:rPr>
              <w:t xml:space="preserve">-копій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lastRenderedPageBreak/>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w:t>
            </w:r>
            <w:r w:rsidRPr="005E665C">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w:t>
            </w:r>
            <w:r w:rsidRPr="005E665C">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lastRenderedPageBreak/>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 xml:space="preserve">2) відомості про юридичну особу, яка є учасником процедури закупівлі, </w:t>
            </w:r>
            <w:proofErr w:type="spellStart"/>
            <w:r w:rsidRPr="00EA2161">
              <w:rPr>
                <w:rFonts w:eastAsia="Tahoma"/>
                <w:lang w:eastAsia="zh-CN" w:bidi="hi-IN"/>
              </w:rPr>
              <w:t>внесено</w:t>
            </w:r>
            <w:proofErr w:type="spellEnd"/>
            <w:r w:rsidRPr="00EA2161">
              <w:rPr>
                <w:rFonts w:eastAsia="Tahoma"/>
                <w:lang w:eastAsia="zh-CN" w:bidi="hi-IN"/>
              </w:rPr>
              <w:t xml:space="preserve">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xml:space="preserve">, у вигляді вчинення </w:t>
            </w:r>
            <w:proofErr w:type="spellStart"/>
            <w:r w:rsidRPr="00EA2161">
              <w:rPr>
                <w:rFonts w:eastAsia="Tahoma"/>
                <w:lang w:eastAsia="zh-CN" w:bidi="hi-IN"/>
              </w:rPr>
              <w:t>антиконкурентних</w:t>
            </w:r>
            <w:proofErr w:type="spellEnd"/>
            <w:r w:rsidRPr="00EA2161">
              <w:rPr>
                <w:rFonts w:eastAsia="Tahoma"/>
                <w:lang w:eastAsia="zh-CN" w:bidi="hi-IN"/>
              </w:rPr>
              <w:t xml:space="preserve">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 xml:space="preserve">11) учасник процедури закупівлі або кінцевий </w:t>
            </w:r>
            <w:proofErr w:type="spellStart"/>
            <w:r w:rsidRPr="00EA2161">
              <w:rPr>
                <w:rFonts w:eastAsia="Tahoma"/>
                <w:lang w:eastAsia="zh-CN" w:bidi="hi-IN"/>
              </w:rPr>
              <w:t>бенефіціарний</w:t>
            </w:r>
            <w:proofErr w:type="spellEnd"/>
            <w:r w:rsidRPr="00EA2161">
              <w:rPr>
                <w:rFonts w:eastAsia="Tahoma"/>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262CFA48"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E6373E">
              <w:t>12</w:t>
            </w:r>
            <w:r w:rsidRPr="00306F29">
              <w:rPr>
                <w:highlight w:val="yellow"/>
              </w:rPr>
              <w:t xml:space="preserve"> </w:t>
            </w:r>
            <w:r w:rsidR="009B1675" w:rsidRPr="00E6373E">
              <w:t>вересня</w:t>
            </w:r>
            <w:r w:rsidRPr="003E12BA">
              <w:t xml:space="preserve"> 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w:t>
            </w:r>
            <w:proofErr w:type="spellStart"/>
            <w:r w:rsidRPr="00105C94">
              <w:t>Держаудитслужба</w:t>
            </w:r>
            <w:proofErr w:type="spellEnd"/>
            <w:r w:rsidRPr="00105C94">
              <w:t xml:space="preserve">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161">
              <w:rPr>
                <w:lang w:eastAsia="zh-CN" w:bidi="hi-IN"/>
              </w:rPr>
              <w:t>бенефіціарним</w:t>
            </w:r>
            <w:proofErr w:type="spellEnd"/>
            <w:r w:rsidRPr="00EA2161">
              <w:rPr>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77777777"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w:t>
            </w:r>
            <w:r w:rsidRPr="00310139">
              <w:lastRenderedPageBreak/>
              <w:t>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D6E0" w14:textId="77777777" w:rsidR="00040256" w:rsidRDefault="00040256">
      <w:r>
        <w:separator/>
      </w:r>
    </w:p>
  </w:endnote>
  <w:endnote w:type="continuationSeparator" w:id="0">
    <w:p w14:paraId="6259AE21" w14:textId="77777777" w:rsidR="00040256" w:rsidRDefault="0004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4B1F" w14:textId="77777777" w:rsidR="00040256" w:rsidRDefault="00040256">
      <w:r>
        <w:separator/>
      </w:r>
    </w:p>
  </w:footnote>
  <w:footnote w:type="continuationSeparator" w:id="0">
    <w:p w14:paraId="6E07C499" w14:textId="77777777" w:rsidR="00040256" w:rsidRDefault="0004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27FD"/>
    <w:rsid w:val="00015A12"/>
    <w:rsid w:val="00021353"/>
    <w:rsid w:val="0002360D"/>
    <w:rsid w:val="00023B88"/>
    <w:rsid w:val="00024B6B"/>
    <w:rsid w:val="000317AB"/>
    <w:rsid w:val="00032115"/>
    <w:rsid w:val="00035087"/>
    <w:rsid w:val="000351DD"/>
    <w:rsid w:val="000357BA"/>
    <w:rsid w:val="0003762E"/>
    <w:rsid w:val="00040256"/>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FFA"/>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25B"/>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19F2"/>
    <w:rsid w:val="008032B3"/>
    <w:rsid w:val="008048C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373E"/>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8822</Words>
  <Characters>50288</Characters>
  <Application>Microsoft Office Word</Application>
  <DocSecurity>0</DocSecurity>
  <Lines>419</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7</cp:revision>
  <cp:lastPrinted>2023-03-07T12:09:00Z</cp:lastPrinted>
  <dcterms:created xsi:type="dcterms:W3CDTF">2023-08-29T06:38:00Z</dcterms:created>
  <dcterms:modified xsi:type="dcterms:W3CDTF">2023-09-04T11:54:00Z</dcterms:modified>
</cp:coreProperties>
</file>