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04" w:rsidRPr="000B7404" w:rsidRDefault="00382E74" w:rsidP="000B7404">
      <w:pPr>
        <w:spacing w:after="0" w:line="240" w:lineRule="auto"/>
        <w:ind w:left="3540" w:firstLine="708"/>
        <w:contextualSpacing/>
        <w:jc w:val="center"/>
        <w:rPr>
          <w:rFonts w:ascii="Times New Roman" w:eastAsia="Times New Roman" w:hAnsi="Times New Roman"/>
          <w:b/>
          <w:sz w:val="28"/>
          <w:szCs w:val="28"/>
          <w:lang w:val="uk-UA" w:eastAsia="x-none"/>
        </w:rPr>
      </w:pPr>
      <w:r>
        <w:rPr>
          <w:rFonts w:ascii="Times New Roman" w:eastAsia="Times New Roman" w:hAnsi="Times New Roman"/>
          <w:b/>
          <w:sz w:val="28"/>
          <w:szCs w:val="28"/>
          <w:lang w:val="uk-UA" w:eastAsia="x-none"/>
        </w:rPr>
        <w:t xml:space="preserve">     </w:t>
      </w:r>
      <w:r w:rsidR="000B7404" w:rsidRPr="000B7404">
        <w:rPr>
          <w:rFonts w:ascii="Times New Roman" w:eastAsia="Times New Roman" w:hAnsi="Times New Roman"/>
          <w:b/>
          <w:sz w:val="28"/>
          <w:szCs w:val="28"/>
          <w:lang w:val="uk-UA" w:eastAsia="x-none"/>
        </w:rPr>
        <w:t>Додаток 1</w:t>
      </w:r>
    </w:p>
    <w:p w:rsidR="000B7404" w:rsidRPr="000B7404" w:rsidRDefault="000B7404" w:rsidP="000B7404">
      <w:pPr>
        <w:spacing w:after="0" w:line="240" w:lineRule="auto"/>
        <w:contextualSpacing/>
        <w:jc w:val="center"/>
        <w:rPr>
          <w:rFonts w:ascii="Times New Roman" w:eastAsia="Times New Roman" w:hAnsi="Times New Roman"/>
          <w:b/>
          <w:sz w:val="28"/>
          <w:szCs w:val="28"/>
          <w:lang w:val="uk-UA" w:eastAsia="ru-RU"/>
        </w:rPr>
      </w:pPr>
      <w:r w:rsidRPr="000B7404">
        <w:rPr>
          <w:rFonts w:ascii="Times New Roman" w:eastAsia="Times New Roman" w:hAnsi="Times New Roman"/>
          <w:b/>
          <w:sz w:val="28"/>
          <w:szCs w:val="28"/>
          <w:lang w:val="uk-UA" w:eastAsia="ru-RU"/>
        </w:rPr>
        <w:t xml:space="preserve">                                                                                     т</w:t>
      </w:r>
      <w:r w:rsidRPr="000B7404">
        <w:rPr>
          <w:rFonts w:ascii="Times New Roman" w:eastAsia="Times New Roman" w:hAnsi="Times New Roman"/>
          <w:b/>
          <w:sz w:val="28"/>
          <w:szCs w:val="28"/>
          <w:lang w:val="uk-UA" w:eastAsia="x-none"/>
        </w:rPr>
        <w:t>ендерної д</w:t>
      </w:r>
      <w:r w:rsidRPr="000B7404">
        <w:rPr>
          <w:rFonts w:ascii="Times New Roman" w:eastAsia="Times New Roman" w:hAnsi="Times New Roman"/>
          <w:b/>
          <w:sz w:val="28"/>
          <w:szCs w:val="28"/>
          <w:lang w:val="uk-UA" w:eastAsia="ru-RU"/>
        </w:rPr>
        <w:t>окументації</w:t>
      </w:r>
    </w:p>
    <w:p w:rsidR="000B7404" w:rsidRPr="000B7404" w:rsidRDefault="000B7404" w:rsidP="000B7404">
      <w:pPr>
        <w:spacing w:after="0" w:line="240" w:lineRule="auto"/>
        <w:jc w:val="center"/>
        <w:rPr>
          <w:rFonts w:ascii="Times New Roman" w:eastAsia="Times New Roman" w:hAnsi="Times New Roman"/>
          <w:b/>
          <w:sz w:val="28"/>
          <w:szCs w:val="28"/>
          <w:lang w:val="uk-UA" w:eastAsia="ru-RU"/>
        </w:rPr>
      </w:pPr>
    </w:p>
    <w:p w:rsidR="000B7404" w:rsidRPr="000B7404" w:rsidRDefault="000B7404" w:rsidP="000B7404">
      <w:pPr>
        <w:spacing w:after="0" w:line="240" w:lineRule="auto"/>
        <w:jc w:val="center"/>
        <w:rPr>
          <w:rFonts w:ascii="Times New Roman" w:eastAsia="Times New Roman" w:hAnsi="Times New Roman"/>
          <w:b/>
          <w:sz w:val="28"/>
          <w:szCs w:val="28"/>
          <w:lang w:val="uk-UA" w:eastAsia="ru-RU"/>
        </w:rPr>
      </w:pPr>
      <w:r w:rsidRPr="000B7404">
        <w:rPr>
          <w:rFonts w:ascii="Times New Roman" w:eastAsia="Times New Roman" w:hAnsi="Times New Roman"/>
          <w:b/>
          <w:sz w:val="28"/>
          <w:szCs w:val="28"/>
          <w:lang w:val="uk-UA" w:eastAsia="ru-RU"/>
        </w:rPr>
        <w:t>ТЕХНІЧНЕ ЗАВДАННЯ</w:t>
      </w:r>
    </w:p>
    <w:p w:rsidR="000B7404" w:rsidRPr="000B7404" w:rsidRDefault="000B7404" w:rsidP="000B7404">
      <w:pPr>
        <w:spacing w:after="0" w:line="240" w:lineRule="auto"/>
        <w:jc w:val="center"/>
        <w:rPr>
          <w:rFonts w:ascii="Times New Roman" w:eastAsia="Times New Roman" w:hAnsi="Times New Roman"/>
          <w:b/>
          <w:bCs/>
          <w:sz w:val="28"/>
          <w:szCs w:val="28"/>
          <w:lang w:val="uk-UA" w:eastAsia="ru-RU"/>
        </w:rPr>
      </w:pPr>
    </w:p>
    <w:p w:rsidR="000B7404" w:rsidRPr="000B7404" w:rsidRDefault="000B7404" w:rsidP="000B7404">
      <w:pPr>
        <w:spacing w:after="0" w:line="240" w:lineRule="auto"/>
        <w:ind w:firstLine="708"/>
        <w:jc w:val="both"/>
        <w:rPr>
          <w:rFonts w:ascii="Times New Roman" w:eastAsia="Times New Roman" w:hAnsi="Times New Roman"/>
          <w:color w:val="00000A"/>
          <w:kern w:val="1"/>
          <w:sz w:val="28"/>
          <w:szCs w:val="28"/>
          <w:lang w:val="uk-UA" w:eastAsia="ar-SA"/>
        </w:rPr>
      </w:pPr>
      <w:r w:rsidRPr="000B7404">
        <w:rPr>
          <w:rFonts w:ascii="Times New Roman" w:eastAsia="Times New Roman" w:hAnsi="Times New Roman"/>
          <w:color w:val="00000A"/>
          <w:kern w:val="1"/>
          <w:sz w:val="28"/>
          <w:szCs w:val="28"/>
          <w:lang w:val="uk-UA" w:eastAsia="ar-SA"/>
        </w:rPr>
        <w:t xml:space="preserve">  Виконавець має надати послуги: Заходи (ремонтні роботи) з усунення аварій в житловому фонді, пов'язаних з ліквідацією наслідків збройної агресії Російської Федерації проти України (поточний ремонт конструктивних елементів житлового будинку за адресою: Дніпропетровська область, м. Кривий Ріг, б-р Європейський, буд. 3) (45450000-6- Інші завершальні будівельні роботи) </w:t>
      </w:r>
    </w:p>
    <w:p w:rsidR="000B7404" w:rsidRPr="000B7404" w:rsidRDefault="000B7404" w:rsidP="000B7404">
      <w:pPr>
        <w:suppressAutoHyphens/>
        <w:spacing w:after="0" w:line="259" w:lineRule="auto"/>
        <w:jc w:val="both"/>
        <w:rPr>
          <w:rFonts w:ascii="Times New Roman" w:eastAsia="Times New Roman" w:hAnsi="Times New Roman"/>
          <w:color w:val="00000A"/>
          <w:kern w:val="1"/>
          <w:sz w:val="28"/>
          <w:szCs w:val="28"/>
          <w:lang w:val="uk-UA" w:eastAsia="ar-SA"/>
        </w:rPr>
      </w:pPr>
      <w:r w:rsidRPr="000B7404">
        <w:rPr>
          <w:rFonts w:ascii="Times New Roman" w:eastAsia="Times New Roman" w:hAnsi="Times New Roman"/>
          <w:color w:val="00000A"/>
          <w:kern w:val="1"/>
          <w:sz w:val="28"/>
          <w:szCs w:val="28"/>
          <w:lang w:val="uk-UA" w:eastAsia="ar-SA"/>
        </w:rPr>
        <w:t>Загальні вимоги до металопластикових віконних блоків:</w:t>
      </w:r>
    </w:p>
    <w:tbl>
      <w:tblPr>
        <w:tblStyle w:val="a5"/>
        <w:tblW w:w="0" w:type="auto"/>
        <w:tblLayout w:type="fixed"/>
        <w:tblLook w:val="04A0" w:firstRow="1" w:lastRow="0" w:firstColumn="1" w:lastColumn="0" w:noHBand="0" w:noVBand="1"/>
      </w:tblPr>
      <w:tblGrid>
        <w:gridCol w:w="617"/>
        <w:gridCol w:w="3773"/>
        <w:gridCol w:w="4110"/>
        <w:gridCol w:w="845"/>
      </w:tblGrid>
      <w:tr w:rsidR="000A4732" w:rsidRPr="000A4732" w:rsidTr="006E3B3D">
        <w:tc>
          <w:tcPr>
            <w:tcW w:w="617" w:type="dxa"/>
          </w:tcPr>
          <w:p w:rsidR="000A4732" w:rsidRPr="000A4732" w:rsidRDefault="000A4732" w:rsidP="000A4732">
            <w:pPr>
              <w:jc w:val="center"/>
              <w:rPr>
                <w:rFonts w:ascii="Times New Roman" w:hAnsi="Times New Roman"/>
                <w:sz w:val="25"/>
                <w:szCs w:val="25"/>
                <w:lang w:val="uk-UA"/>
              </w:rPr>
            </w:pPr>
            <w:r w:rsidRPr="000A4732">
              <w:rPr>
                <w:rFonts w:ascii="Times New Roman" w:hAnsi="Times New Roman"/>
                <w:sz w:val="25"/>
                <w:szCs w:val="25"/>
                <w:lang w:val="uk-UA"/>
              </w:rPr>
              <w:t>№ п/п</w:t>
            </w:r>
          </w:p>
        </w:tc>
        <w:tc>
          <w:tcPr>
            <w:tcW w:w="3773" w:type="dxa"/>
          </w:tcPr>
          <w:p w:rsidR="000A4732" w:rsidRPr="000A4732" w:rsidRDefault="000A4732" w:rsidP="000A4732">
            <w:pPr>
              <w:jc w:val="center"/>
              <w:rPr>
                <w:rFonts w:ascii="Times New Roman" w:hAnsi="Times New Roman"/>
                <w:sz w:val="25"/>
                <w:szCs w:val="25"/>
                <w:lang w:val="uk-UA"/>
              </w:rPr>
            </w:pPr>
            <w:r w:rsidRPr="000A4732">
              <w:rPr>
                <w:rFonts w:ascii="Times New Roman" w:hAnsi="Times New Roman"/>
                <w:sz w:val="25"/>
                <w:szCs w:val="25"/>
                <w:lang w:val="uk-UA"/>
              </w:rPr>
              <w:t xml:space="preserve">Найменування </w:t>
            </w:r>
          </w:p>
        </w:tc>
        <w:tc>
          <w:tcPr>
            <w:tcW w:w="4110" w:type="dxa"/>
          </w:tcPr>
          <w:p w:rsidR="000A4732" w:rsidRPr="000A4732" w:rsidRDefault="000A4732" w:rsidP="000A4732">
            <w:pPr>
              <w:jc w:val="center"/>
              <w:rPr>
                <w:rFonts w:ascii="Times New Roman" w:hAnsi="Times New Roman"/>
                <w:sz w:val="25"/>
                <w:szCs w:val="25"/>
                <w:lang w:val="uk-UA"/>
              </w:rPr>
            </w:pPr>
          </w:p>
        </w:tc>
        <w:tc>
          <w:tcPr>
            <w:tcW w:w="845" w:type="dxa"/>
          </w:tcPr>
          <w:p w:rsidR="000A4732" w:rsidRPr="000A4732" w:rsidRDefault="000A4732" w:rsidP="000A4732">
            <w:pPr>
              <w:jc w:val="center"/>
              <w:rPr>
                <w:rFonts w:ascii="Times New Roman" w:hAnsi="Times New Roman"/>
                <w:sz w:val="25"/>
                <w:szCs w:val="25"/>
                <w:lang w:val="uk-UA"/>
              </w:rPr>
            </w:pPr>
            <w:r w:rsidRPr="000A4732">
              <w:rPr>
                <w:rFonts w:ascii="Times New Roman" w:hAnsi="Times New Roman"/>
                <w:sz w:val="25"/>
                <w:szCs w:val="25"/>
                <w:lang w:val="uk-UA"/>
              </w:rPr>
              <w:t>Кількість</w:t>
            </w:r>
          </w:p>
        </w:tc>
      </w:tr>
      <w:tr w:rsidR="000A4732" w:rsidRPr="000A4732" w:rsidTr="006E3B3D">
        <w:tc>
          <w:tcPr>
            <w:tcW w:w="617" w:type="dxa"/>
          </w:tcPr>
          <w:p w:rsidR="000A4732" w:rsidRPr="000A4732" w:rsidRDefault="000A4732" w:rsidP="000A4732">
            <w:pPr>
              <w:rPr>
                <w:rFonts w:ascii="Times New Roman" w:hAnsi="Times New Roman"/>
                <w:sz w:val="25"/>
                <w:szCs w:val="25"/>
                <w:lang w:val="uk-UA"/>
              </w:rPr>
            </w:pPr>
          </w:p>
        </w:tc>
        <w:tc>
          <w:tcPr>
            <w:tcW w:w="8728" w:type="dxa"/>
            <w:gridSpan w:val="3"/>
          </w:tcPr>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tc>
      </w:tr>
      <w:tr w:rsidR="000A4732" w:rsidRPr="000A4732" w:rsidTr="006E3B3D">
        <w:tc>
          <w:tcPr>
            <w:tcW w:w="617"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1</w:t>
            </w:r>
          </w:p>
        </w:tc>
        <w:tc>
          <w:tcPr>
            <w:tcW w:w="3773"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Металопластикові вікно №1 </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Віконний блок глухий 820х840</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Металопластикові вікна повинні бути:</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профіль 5 камерний, монтажна ширина не менше 70мм , колір білий,</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склопакет 4iх14_Arх4х14_Arх4i</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армування П-обр 1,5 мм</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двокамерний склопакет , два енергозберігаючих скла, дві камери повинні бути заповнені інертним газом(</w:t>
            </w:r>
            <w:proofErr w:type="spellStart"/>
            <w:r w:rsidRPr="000A4732">
              <w:rPr>
                <w:rFonts w:ascii="Times New Roman" w:hAnsi="Times New Roman"/>
                <w:sz w:val="25"/>
                <w:szCs w:val="25"/>
                <w:lang w:val="uk-UA"/>
              </w:rPr>
              <w:t>Ar</w:t>
            </w:r>
            <w:proofErr w:type="spellEnd"/>
            <w:r w:rsidRPr="000A4732">
              <w:rPr>
                <w:rFonts w:ascii="Times New Roman" w:hAnsi="Times New Roman"/>
                <w:sz w:val="25"/>
                <w:szCs w:val="25"/>
                <w:lang w:val="uk-UA"/>
              </w:rPr>
              <w:t xml:space="preserve">), </w:t>
            </w:r>
            <w:r w:rsidR="00EB2FDC" w:rsidRPr="000A4732">
              <w:rPr>
                <w:rFonts w:ascii="Times New Roman" w:hAnsi="Times New Roman"/>
                <w:sz w:val="25"/>
                <w:szCs w:val="25"/>
                <w:lang w:val="uk-UA"/>
              </w:rPr>
              <w:t>коефіцієнт</w:t>
            </w:r>
            <w:r w:rsidRPr="000A4732">
              <w:rPr>
                <w:rFonts w:ascii="Times New Roman" w:hAnsi="Times New Roman"/>
                <w:sz w:val="25"/>
                <w:szCs w:val="25"/>
                <w:lang w:val="uk-UA"/>
              </w:rPr>
              <w:t xml:space="preserve"> опору теплопередачі не нижче R=0.66 м2 *С/Вт</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Дренаж вниз</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фурнітура - колір білий,</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підвіконня   матове, квадратне 890*250 (56 </w:t>
            </w:r>
            <w:proofErr w:type="spellStart"/>
            <w:r w:rsidRPr="000A4732">
              <w:rPr>
                <w:rFonts w:ascii="Times New Roman" w:hAnsi="Times New Roman"/>
                <w:sz w:val="25"/>
                <w:szCs w:val="25"/>
                <w:lang w:val="uk-UA"/>
              </w:rPr>
              <w:t>шт</w:t>
            </w:r>
            <w:proofErr w:type="spellEnd"/>
            <w:r w:rsidRPr="000A4732">
              <w:rPr>
                <w:rFonts w:ascii="Times New Roman" w:hAnsi="Times New Roman"/>
                <w:sz w:val="25"/>
                <w:szCs w:val="25"/>
                <w:lang w:val="uk-UA"/>
              </w:rPr>
              <w:t>)</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відливи оцинковані білі 890*170 (56 </w:t>
            </w:r>
            <w:proofErr w:type="spellStart"/>
            <w:r w:rsidRPr="000A4732">
              <w:rPr>
                <w:rFonts w:ascii="Times New Roman" w:hAnsi="Times New Roman"/>
                <w:sz w:val="25"/>
                <w:szCs w:val="25"/>
                <w:lang w:val="uk-UA"/>
              </w:rPr>
              <w:t>шт</w:t>
            </w:r>
            <w:proofErr w:type="spellEnd"/>
            <w:r w:rsidRPr="000A4732">
              <w:rPr>
                <w:rFonts w:ascii="Times New Roman" w:hAnsi="Times New Roman"/>
                <w:sz w:val="25"/>
                <w:szCs w:val="25"/>
                <w:lang w:val="uk-UA"/>
              </w:rPr>
              <w:t>)</w:t>
            </w:r>
          </w:p>
          <w:p w:rsid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ПСУС зовнішня стрічка (укоси зовнішні) 2,48м (56шт)</w:t>
            </w:r>
          </w:p>
          <w:p w:rsidR="000A4732" w:rsidRPr="000A4732" w:rsidRDefault="000A4732" w:rsidP="000A4732">
            <w:pPr>
              <w:rPr>
                <w:rFonts w:ascii="Times New Roman" w:hAnsi="Times New Roman"/>
                <w:sz w:val="25"/>
                <w:szCs w:val="25"/>
                <w:lang w:val="uk-UA"/>
              </w:rPr>
            </w:pPr>
          </w:p>
        </w:tc>
        <w:tc>
          <w:tcPr>
            <w:tcW w:w="4110"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Вікно № 1                        0.69   м*м            </w:t>
            </w: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r w:rsidRPr="000A4732">
              <w:rPr>
                <w:rFonts w:ascii="Times New Roman" w:hAnsi="Times New Roman"/>
                <w:noProof/>
                <w:sz w:val="25"/>
                <w:szCs w:val="25"/>
                <w:lang w:eastAsia="ru-RU"/>
              </w:rPr>
              <w:drawing>
                <wp:inline distT="0" distB="0" distL="0" distR="0" wp14:anchorId="0F8AA3AC" wp14:editId="54B5C783">
                  <wp:extent cx="2476500" cy="2106295"/>
                  <wp:effectExtent l="0" t="0" r="0" b="8255"/>
                  <wp:docPr id="31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2106295"/>
                          </a:xfrm>
                          <a:prstGeom prst="rect">
                            <a:avLst/>
                          </a:prstGeom>
                          <a:noFill/>
                          <a:ln>
                            <a:noFill/>
                          </a:ln>
                          <a:extLst/>
                        </pic:spPr>
                      </pic:pic>
                    </a:graphicData>
                  </a:graphic>
                </wp:inline>
              </w:drawing>
            </w:r>
          </w:p>
        </w:tc>
        <w:tc>
          <w:tcPr>
            <w:tcW w:w="845" w:type="dxa"/>
          </w:tcPr>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56</w:t>
            </w:r>
          </w:p>
        </w:tc>
      </w:tr>
      <w:tr w:rsidR="000A4732" w:rsidRPr="000A4732" w:rsidTr="006E3B3D">
        <w:tc>
          <w:tcPr>
            <w:tcW w:w="617"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2</w:t>
            </w:r>
          </w:p>
        </w:tc>
        <w:tc>
          <w:tcPr>
            <w:tcW w:w="3773"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Металопластикові вікно №2</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Віконний блок відкритий 820х840</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Металопластикові вікна повинні бути:</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профіль  5- камерний, монтажна ширина не менше 70мм , колір білий,</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склопакет </w:t>
            </w:r>
            <w:r w:rsidRPr="000A4732">
              <w:rPr>
                <w:rFonts w:ascii="Times New Roman" w:hAnsi="Times New Roman"/>
                <w:sz w:val="25"/>
                <w:szCs w:val="25"/>
                <w:lang w:val="uk-UA"/>
              </w:rPr>
              <w:lastRenderedPageBreak/>
              <w:t>4iх14_Arх4х14_Arх4i</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армування П-обр 1,5 мм</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двокамерний склопакет, 2 енергозберігаючих скла, дві камери повинні бути заповнені інертним газом(</w:t>
            </w:r>
            <w:proofErr w:type="spellStart"/>
            <w:r w:rsidRPr="000A4732">
              <w:rPr>
                <w:rFonts w:ascii="Times New Roman" w:hAnsi="Times New Roman"/>
                <w:sz w:val="25"/>
                <w:szCs w:val="25"/>
                <w:lang w:val="uk-UA"/>
              </w:rPr>
              <w:t>Ar</w:t>
            </w:r>
            <w:proofErr w:type="spellEnd"/>
            <w:r w:rsidRPr="000A4732">
              <w:rPr>
                <w:rFonts w:ascii="Times New Roman" w:hAnsi="Times New Roman"/>
                <w:sz w:val="25"/>
                <w:szCs w:val="25"/>
                <w:lang w:val="uk-UA"/>
              </w:rPr>
              <w:t xml:space="preserve">), </w:t>
            </w:r>
            <w:r w:rsidR="00EB2FDC" w:rsidRPr="000A4732">
              <w:rPr>
                <w:rFonts w:ascii="Times New Roman" w:hAnsi="Times New Roman"/>
                <w:sz w:val="25"/>
                <w:szCs w:val="25"/>
                <w:lang w:val="uk-UA"/>
              </w:rPr>
              <w:t>коефіцієнт</w:t>
            </w:r>
            <w:r w:rsidRPr="000A4732">
              <w:rPr>
                <w:rFonts w:ascii="Times New Roman" w:hAnsi="Times New Roman"/>
                <w:sz w:val="25"/>
                <w:szCs w:val="25"/>
                <w:lang w:val="uk-UA"/>
              </w:rPr>
              <w:t xml:space="preserve"> опору теплопередачі не нижче R=0.66 м2 *С/Вт</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Дренаж вниз</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ручка біла,</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фурнітура, колір білий,</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підвіконня   матове, квадратне 890*250 (32 </w:t>
            </w:r>
            <w:proofErr w:type="spellStart"/>
            <w:r w:rsidRPr="000A4732">
              <w:rPr>
                <w:rFonts w:ascii="Times New Roman" w:hAnsi="Times New Roman"/>
                <w:sz w:val="25"/>
                <w:szCs w:val="25"/>
                <w:lang w:val="uk-UA"/>
              </w:rPr>
              <w:t>шт</w:t>
            </w:r>
            <w:proofErr w:type="spellEnd"/>
            <w:r w:rsidRPr="000A4732">
              <w:rPr>
                <w:rFonts w:ascii="Times New Roman" w:hAnsi="Times New Roman"/>
                <w:sz w:val="25"/>
                <w:szCs w:val="25"/>
                <w:lang w:val="uk-UA"/>
              </w:rPr>
              <w:t>)</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відливи оцинковані білі 890*170 (32 </w:t>
            </w:r>
            <w:proofErr w:type="spellStart"/>
            <w:r w:rsidRPr="000A4732">
              <w:rPr>
                <w:rFonts w:ascii="Times New Roman" w:hAnsi="Times New Roman"/>
                <w:sz w:val="25"/>
                <w:szCs w:val="25"/>
                <w:lang w:val="uk-UA"/>
              </w:rPr>
              <w:t>шт</w:t>
            </w:r>
            <w:proofErr w:type="spellEnd"/>
            <w:r w:rsidRPr="000A4732">
              <w:rPr>
                <w:rFonts w:ascii="Times New Roman" w:hAnsi="Times New Roman"/>
                <w:sz w:val="25"/>
                <w:szCs w:val="25"/>
                <w:lang w:val="uk-UA"/>
              </w:rPr>
              <w:t>)</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ПСУС зовнішня стрічка (укоси зовнішні) 2,48м (32шт)</w:t>
            </w:r>
          </w:p>
        </w:tc>
        <w:tc>
          <w:tcPr>
            <w:tcW w:w="4110"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lastRenderedPageBreak/>
              <w:t xml:space="preserve">Вікно №2                   0.69   м*м </w:t>
            </w: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r w:rsidRPr="000A4732">
              <w:rPr>
                <w:rFonts w:ascii="Times New Roman" w:hAnsi="Times New Roman"/>
                <w:noProof/>
                <w:sz w:val="25"/>
                <w:szCs w:val="25"/>
                <w:lang w:eastAsia="ru-RU"/>
              </w:rPr>
              <w:lastRenderedPageBreak/>
              <w:drawing>
                <wp:inline distT="0" distB="0" distL="0" distR="0" wp14:anchorId="5CB3D81C" wp14:editId="7A769D1C">
                  <wp:extent cx="2495550" cy="2705100"/>
                  <wp:effectExtent l="0" t="0" r="0" b="0"/>
                  <wp:docPr id="3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2705100"/>
                          </a:xfrm>
                          <a:prstGeom prst="rect">
                            <a:avLst/>
                          </a:prstGeom>
                          <a:noFill/>
                          <a:ln>
                            <a:noFill/>
                          </a:ln>
                          <a:extLst/>
                        </pic:spPr>
                      </pic:pic>
                    </a:graphicData>
                  </a:graphic>
                </wp:inline>
              </w:drawing>
            </w: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tc>
        <w:tc>
          <w:tcPr>
            <w:tcW w:w="845" w:type="dxa"/>
          </w:tcPr>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32</w:t>
            </w:r>
          </w:p>
        </w:tc>
      </w:tr>
      <w:tr w:rsidR="000A4732" w:rsidRPr="000A4732" w:rsidTr="006E3B3D">
        <w:tc>
          <w:tcPr>
            <w:tcW w:w="617"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lastRenderedPageBreak/>
              <w:t>3</w:t>
            </w:r>
          </w:p>
        </w:tc>
        <w:tc>
          <w:tcPr>
            <w:tcW w:w="3773"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Металопластикові вікно №3</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Віконний блок </w:t>
            </w:r>
            <w:r w:rsidR="000134E5">
              <w:rPr>
                <w:rFonts w:ascii="Times New Roman" w:hAnsi="Times New Roman"/>
                <w:sz w:val="25"/>
                <w:szCs w:val="25"/>
                <w:lang w:val="uk-UA"/>
              </w:rPr>
              <w:t>глухий</w:t>
            </w:r>
            <w:r w:rsidRPr="000A4732">
              <w:rPr>
                <w:rFonts w:ascii="Times New Roman" w:hAnsi="Times New Roman"/>
                <w:sz w:val="25"/>
                <w:szCs w:val="25"/>
                <w:lang w:val="uk-UA"/>
              </w:rPr>
              <w:t>1430х710</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Металопластикові вікна повинні бути:</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профіль  5- камерний, монтажна ширина не менше 70мм , колір білий,</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склопакет 4iх14_Arх4х14_Arх4i </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армування П-обр 1,5 мм</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двокамерний склопакет, 2 енергозберігаючих скла, дві камери повинні бути заповнені інертним газом(</w:t>
            </w:r>
            <w:proofErr w:type="spellStart"/>
            <w:r w:rsidRPr="000A4732">
              <w:rPr>
                <w:rFonts w:ascii="Times New Roman" w:hAnsi="Times New Roman"/>
                <w:sz w:val="25"/>
                <w:szCs w:val="25"/>
                <w:lang w:val="uk-UA"/>
              </w:rPr>
              <w:t>Ar</w:t>
            </w:r>
            <w:proofErr w:type="spellEnd"/>
            <w:r w:rsidRPr="000A4732">
              <w:rPr>
                <w:rFonts w:ascii="Times New Roman" w:hAnsi="Times New Roman"/>
                <w:sz w:val="25"/>
                <w:szCs w:val="25"/>
                <w:lang w:val="uk-UA"/>
              </w:rPr>
              <w:t xml:space="preserve">), </w:t>
            </w:r>
            <w:r w:rsidR="00EB2FDC" w:rsidRPr="000A4732">
              <w:rPr>
                <w:rFonts w:ascii="Times New Roman" w:hAnsi="Times New Roman"/>
                <w:sz w:val="25"/>
                <w:szCs w:val="25"/>
                <w:lang w:val="uk-UA"/>
              </w:rPr>
              <w:t>коефіцієнт</w:t>
            </w:r>
            <w:r w:rsidRPr="000A4732">
              <w:rPr>
                <w:rFonts w:ascii="Times New Roman" w:hAnsi="Times New Roman"/>
                <w:sz w:val="25"/>
                <w:szCs w:val="25"/>
                <w:lang w:val="uk-UA"/>
              </w:rPr>
              <w:t xml:space="preserve"> опору теплопередачі не нижче R=0,66 м2 *С/Вт</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Дренаж вниз</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колір білий,</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підвіконня   матове, квадратне 760*250 (8 </w:t>
            </w:r>
            <w:proofErr w:type="spellStart"/>
            <w:r w:rsidRPr="000A4732">
              <w:rPr>
                <w:rFonts w:ascii="Times New Roman" w:hAnsi="Times New Roman"/>
                <w:sz w:val="25"/>
                <w:szCs w:val="25"/>
                <w:lang w:val="uk-UA"/>
              </w:rPr>
              <w:t>шт</w:t>
            </w:r>
            <w:proofErr w:type="spellEnd"/>
            <w:r w:rsidRPr="000A4732">
              <w:rPr>
                <w:rFonts w:ascii="Times New Roman" w:hAnsi="Times New Roman"/>
                <w:sz w:val="25"/>
                <w:szCs w:val="25"/>
                <w:lang w:val="uk-UA"/>
              </w:rPr>
              <w:t>)</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відливи оцинковані білі 760*170 (8 </w:t>
            </w:r>
            <w:proofErr w:type="spellStart"/>
            <w:r w:rsidRPr="000A4732">
              <w:rPr>
                <w:rFonts w:ascii="Times New Roman" w:hAnsi="Times New Roman"/>
                <w:sz w:val="25"/>
                <w:szCs w:val="25"/>
                <w:lang w:val="uk-UA"/>
              </w:rPr>
              <w:t>шт</w:t>
            </w:r>
            <w:proofErr w:type="spellEnd"/>
            <w:r w:rsidRPr="000A4732">
              <w:rPr>
                <w:rFonts w:ascii="Times New Roman" w:hAnsi="Times New Roman"/>
                <w:sz w:val="25"/>
                <w:szCs w:val="25"/>
                <w:lang w:val="uk-UA"/>
              </w:rPr>
              <w:t>)</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ПСУС зовнішня стрічка (укоси зовнішні) 3,57м (8шт)</w:t>
            </w:r>
          </w:p>
        </w:tc>
        <w:tc>
          <w:tcPr>
            <w:tcW w:w="4110"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Вікно № 3                                          1.02   м*м</w:t>
            </w:r>
          </w:p>
          <w:p w:rsidR="000A4732" w:rsidRPr="000A4732" w:rsidRDefault="000A4732" w:rsidP="000A4732">
            <w:pPr>
              <w:rPr>
                <w:rFonts w:ascii="Times New Roman" w:hAnsi="Times New Roman"/>
                <w:sz w:val="25"/>
                <w:szCs w:val="25"/>
                <w:lang w:val="uk-UA"/>
              </w:rPr>
            </w:pPr>
            <w:r w:rsidRPr="000A4732">
              <w:rPr>
                <w:rFonts w:ascii="Times New Roman" w:hAnsi="Times New Roman"/>
                <w:noProof/>
                <w:sz w:val="25"/>
                <w:szCs w:val="25"/>
                <w:lang w:eastAsia="ru-RU"/>
              </w:rPr>
              <w:drawing>
                <wp:inline distT="0" distB="0" distL="0" distR="0" wp14:anchorId="33762D70" wp14:editId="57B9FBAD">
                  <wp:extent cx="2472690" cy="2104390"/>
                  <wp:effectExtent l="0" t="0" r="3810" b="0"/>
                  <wp:docPr id="31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690" cy="2104390"/>
                          </a:xfrm>
                          <a:prstGeom prst="rect">
                            <a:avLst/>
                          </a:prstGeom>
                          <a:noFill/>
                          <a:ln>
                            <a:noFill/>
                          </a:ln>
                          <a:extLst/>
                        </pic:spPr>
                      </pic:pic>
                    </a:graphicData>
                  </a:graphic>
                </wp:inline>
              </w:drawing>
            </w:r>
          </w:p>
        </w:tc>
        <w:tc>
          <w:tcPr>
            <w:tcW w:w="845" w:type="dxa"/>
          </w:tcPr>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8</w:t>
            </w:r>
          </w:p>
        </w:tc>
      </w:tr>
      <w:tr w:rsidR="000A4732" w:rsidRPr="000A4732" w:rsidTr="006E3B3D">
        <w:tc>
          <w:tcPr>
            <w:tcW w:w="617" w:type="dxa"/>
          </w:tcPr>
          <w:p w:rsidR="000134E5" w:rsidRDefault="000134E5"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4</w:t>
            </w:r>
          </w:p>
        </w:tc>
        <w:tc>
          <w:tcPr>
            <w:tcW w:w="3773" w:type="dxa"/>
          </w:tcPr>
          <w:p w:rsidR="000134E5" w:rsidRDefault="000134E5"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roofErr w:type="spellStart"/>
            <w:r w:rsidRPr="000A4732">
              <w:rPr>
                <w:rFonts w:ascii="Times New Roman" w:hAnsi="Times New Roman"/>
                <w:sz w:val="25"/>
                <w:szCs w:val="25"/>
                <w:lang w:val="uk-UA"/>
              </w:rPr>
              <w:t>Нащільник</w:t>
            </w:r>
            <w:proofErr w:type="spellEnd"/>
            <w:r w:rsidR="000134E5">
              <w:rPr>
                <w:rFonts w:ascii="Times New Roman" w:hAnsi="Times New Roman"/>
                <w:sz w:val="25"/>
                <w:szCs w:val="25"/>
                <w:lang w:val="uk-UA"/>
              </w:rPr>
              <w:t xml:space="preserve"> (укоси внутрішні)</w:t>
            </w:r>
            <w:r w:rsidRPr="000A4732">
              <w:rPr>
                <w:rFonts w:ascii="Times New Roman" w:hAnsi="Times New Roman"/>
                <w:sz w:val="25"/>
                <w:szCs w:val="25"/>
                <w:lang w:val="uk-UA"/>
              </w:rPr>
              <w:t>.білий100</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довжина 2,48м (88шт)</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-довжина  3,57м (8шт)</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розміри Н1=100;          </w:t>
            </w:r>
          </w:p>
          <w:p w:rsidR="000A4732" w:rsidRPr="000A4732" w:rsidRDefault="000A4732" w:rsidP="000A4732">
            <w:pPr>
              <w:rPr>
                <w:rFonts w:ascii="Times New Roman" w:hAnsi="Times New Roman"/>
                <w:sz w:val="25"/>
                <w:szCs w:val="25"/>
                <w:lang w:val="uk-UA"/>
              </w:rPr>
            </w:pPr>
          </w:p>
        </w:tc>
        <w:tc>
          <w:tcPr>
            <w:tcW w:w="4110" w:type="dxa"/>
          </w:tcPr>
          <w:p w:rsidR="000A4732" w:rsidRPr="000A4732" w:rsidRDefault="000B7404" w:rsidP="000A4732">
            <w:pPr>
              <w:rPr>
                <w:rFonts w:ascii="Times New Roman" w:hAnsi="Times New Roman"/>
                <w:sz w:val="25"/>
                <w:szCs w:val="25"/>
                <w:lang w:val="uk-UA"/>
              </w:rPr>
            </w:pPr>
            <w:r w:rsidRPr="000A4732">
              <w:rPr>
                <w:rFonts w:ascii="Times New Roman" w:hAnsi="Times New Roman"/>
                <w:noProof/>
                <w:sz w:val="25"/>
                <w:szCs w:val="25"/>
                <w:lang w:eastAsia="ru-RU"/>
              </w:rPr>
              <w:drawing>
                <wp:inline distT="0" distB="0" distL="0" distR="0" wp14:anchorId="15933CC7" wp14:editId="4C8F4987">
                  <wp:extent cx="2181225" cy="1733550"/>
                  <wp:effectExtent l="0" t="0" r="9525" b="0"/>
                  <wp:docPr id="31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1"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1733550"/>
                          </a:xfrm>
                          <a:prstGeom prst="rect">
                            <a:avLst/>
                          </a:prstGeom>
                          <a:noFill/>
                          <a:ln>
                            <a:noFill/>
                          </a:ln>
                          <a:extLst/>
                        </pic:spPr>
                      </pic:pic>
                    </a:graphicData>
                  </a:graphic>
                </wp:inline>
              </w:drawing>
            </w: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tc>
        <w:tc>
          <w:tcPr>
            <w:tcW w:w="845" w:type="dxa"/>
          </w:tcPr>
          <w:p w:rsidR="000A4732" w:rsidRPr="000A4732" w:rsidRDefault="000A4732" w:rsidP="000A4732">
            <w:pPr>
              <w:rPr>
                <w:rFonts w:ascii="Times New Roman" w:hAnsi="Times New Roman"/>
                <w:sz w:val="25"/>
                <w:szCs w:val="25"/>
                <w:lang w:val="uk-UA"/>
              </w:rPr>
            </w:pPr>
          </w:p>
        </w:tc>
      </w:tr>
    </w:tbl>
    <w:p w:rsidR="00340087" w:rsidRDefault="004D1408" w:rsidP="004D1408">
      <w:pPr>
        <w:pStyle w:val="a4"/>
        <w:rPr>
          <w:rFonts w:ascii="Times New Roman" w:hAnsi="Times New Roman"/>
          <w:b/>
          <w:sz w:val="25"/>
          <w:szCs w:val="25"/>
          <w:lang w:val="uk-UA"/>
        </w:rPr>
      </w:pPr>
      <w:r w:rsidRPr="00340087">
        <w:rPr>
          <w:rFonts w:ascii="Times New Roman" w:hAnsi="Times New Roman"/>
          <w:b/>
          <w:sz w:val="25"/>
          <w:szCs w:val="25"/>
          <w:lang w:val="uk-UA"/>
        </w:rPr>
        <w:t xml:space="preserve"> </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Вимоги до профілю:</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ab/>
        <w:t>Профіль металопластикових вікон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xml:space="preserve">-товщина зовнішньої стінки віконного профілю – не менше </w:t>
      </w:r>
      <w:smartTag w:uri="urn:schemas-microsoft-com:office:smarttags" w:element="metricconverter">
        <w:smartTagPr>
          <w:attr w:name="ProductID" w:val="2,7 мм"/>
        </w:smartTagPr>
        <w:r w:rsidRPr="000A4732">
          <w:rPr>
            <w:rFonts w:ascii="Times New Roman" w:hAnsi="Times New Roman"/>
            <w:sz w:val="25"/>
            <w:szCs w:val="25"/>
            <w:lang w:val="uk-UA"/>
          </w:rPr>
          <w:t>2,7 мм</w:t>
        </w:r>
      </w:smartTag>
      <w:r w:rsidRPr="000A4732">
        <w:rPr>
          <w:rFonts w:ascii="Times New Roman" w:hAnsi="Times New Roman"/>
          <w:sz w:val="25"/>
          <w:szCs w:val="25"/>
          <w:lang w:val="uk-UA"/>
        </w:rPr>
        <w:t>,</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xml:space="preserve">-армування профілю – оцинкований метал товщиною не менше </w:t>
      </w:r>
      <w:smartTag w:uri="urn:schemas-microsoft-com:office:smarttags" w:element="metricconverter">
        <w:smartTagPr>
          <w:attr w:name="ProductID" w:val="1,5 мм"/>
        </w:smartTagPr>
        <w:r w:rsidRPr="000A4732">
          <w:rPr>
            <w:rFonts w:ascii="Times New Roman" w:hAnsi="Times New Roman"/>
            <w:sz w:val="25"/>
            <w:szCs w:val="25"/>
            <w:lang w:val="uk-UA"/>
          </w:rPr>
          <w:t>1,5 мм</w:t>
        </w:r>
      </w:smartTag>
      <w:r w:rsidRPr="000A4732">
        <w:rPr>
          <w:rFonts w:ascii="Times New Roman" w:hAnsi="Times New Roman"/>
          <w:sz w:val="25"/>
          <w:szCs w:val="25"/>
          <w:lang w:val="uk-UA"/>
        </w:rPr>
        <w:t>,</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-система водовідводу – зовнішня сторона профілю повинна мати пологий нахил для відводу води, використовувати водовідвідні ковпачки,</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ПВХ профіль білого кольору, повинен мати монтажну ширину не менше 70 мм.</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xml:space="preserve">           У місцях сполучення профілів зі склом або склопакетами у виробах повинні бути встановлені гнучкі ущільнювальні прокладки, які забезпечують надійне закріплення скла або склопакетів.</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У притулах виробів повинно бути не менше двох поясів ущільнювальних прокладок, безперервних по периметру ущільнення.</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 xml:space="preserve">Вироби повинні бути водонепроникними. В зачиненому стані виробів ущільнювальні прокладки в притулах повинні забезпечувати щільність притиснення стулок і </w:t>
      </w:r>
      <w:proofErr w:type="spellStart"/>
      <w:r w:rsidRPr="000A4732">
        <w:rPr>
          <w:rFonts w:ascii="Times New Roman" w:hAnsi="Times New Roman"/>
          <w:sz w:val="25"/>
          <w:szCs w:val="25"/>
          <w:lang w:val="uk-UA"/>
        </w:rPr>
        <w:t>полотен</w:t>
      </w:r>
      <w:proofErr w:type="spellEnd"/>
      <w:r w:rsidRPr="000A4732">
        <w:rPr>
          <w:rFonts w:ascii="Times New Roman" w:hAnsi="Times New Roman"/>
          <w:sz w:val="25"/>
          <w:szCs w:val="25"/>
          <w:lang w:val="uk-UA"/>
        </w:rPr>
        <w:t>, що виключає проникнення вологи до приміщень.</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Для відведення води і сконденсованої вологи в нижніх профілях коробок і стулок повинні бути передбачені спеціальні прорізи у відповідності з технічною документацією, затвердженою за встановленим порядком</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Колір лицьових поверхонь виробів повинен бути однотонним, без колірних плям і включень.</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 xml:space="preserve">Дефекти поверхні (риски, </w:t>
      </w:r>
      <w:proofErr w:type="spellStart"/>
      <w:r w:rsidRPr="000A4732">
        <w:rPr>
          <w:rFonts w:ascii="Times New Roman" w:hAnsi="Times New Roman"/>
          <w:sz w:val="25"/>
          <w:szCs w:val="25"/>
          <w:lang w:val="uk-UA"/>
        </w:rPr>
        <w:t>усадні</w:t>
      </w:r>
      <w:proofErr w:type="spellEnd"/>
      <w:r w:rsidRPr="000A4732">
        <w:rPr>
          <w:rFonts w:ascii="Times New Roman" w:hAnsi="Times New Roman"/>
          <w:sz w:val="25"/>
          <w:szCs w:val="25"/>
          <w:lang w:val="uk-UA"/>
        </w:rPr>
        <w:t xml:space="preserve"> раковини, </w:t>
      </w:r>
      <w:proofErr w:type="spellStart"/>
      <w:r w:rsidRPr="000A4732">
        <w:rPr>
          <w:rFonts w:ascii="Times New Roman" w:hAnsi="Times New Roman"/>
          <w:sz w:val="25"/>
          <w:szCs w:val="25"/>
          <w:lang w:val="uk-UA"/>
        </w:rPr>
        <w:t>здутини</w:t>
      </w:r>
      <w:proofErr w:type="spellEnd"/>
      <w:r w:rsidRPr="000A4732">
        <w:rPr>
          <w:rFonts w:ascii="Times New Roman" w:hAnsi="Times New Roman"/>
          <w:sz w:val="25"/>
          <w:szCs w:val="25"/>
          <w:lang w:val="uk-UA"/>
        </w:rPr>
        <w:t>, подряпини, буль</w:t>
      </w:r>
      <w:r w:rsidRPr="000A4732">
        <w:rPr>
          <w:rFonts w:ascii="Times New Roman" w:hAnsi="Times New Roman"/>
          <w:sz w:val="25"/>
          <w:szCs w:val="25"/>
          <w:lang w:val="uk-UA"/>
        </w:rPr>
        <w:softHyphen/>
        <w:t xml:space="preserve">башки і </w:t>
      </w:r>
      <w:proofErr w:type="spellStart"/>
      <w:r w:rsidRPr="000A4732">
        <w:rPr>
          <w:rFonts w:ascii="Times New Roman" w:hAnsi="Times New Roman"/>
          <w:sz w:val="25"/>
          <w:szCs w:val="25"/>
          <w:lang w:val="uk-UA"/>
        </w:rPr>
        <w:t>т.ін</w:t>
      </w:r>
      <w:proofErr w:type="spellEnd"/>
      <w:r w:rsidRPr="000A4732">
        <w:rPr>
          <w:rFonts w:ascii="Times New Roman" w:hAnsi="Times New Roman"/>
          <w:sz w:val="25"/>
          <w:szCs w:val="25"/>
          <w:lang w:val="uk-UA"/>
        </w:rPr>
        <w:t>.) та різнотонність кольору, які розрізняються неозброєним оком не допускаються.</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Лицьові поверхні профілів повинні бути покритими захисною плівкою, яка запобігає їх пошкодженню під час транспортування, а також під час виготовлення і монтажу виробів.</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Фурнітура:</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закріпляючі деталі та елементи повинні бути корозієстійкі;</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колір – білий;</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фурнітура повинна бути корозієстійкою;</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xml:space="preserve">- механізм відкривання </w:t>
      </w:r>
      <w:proofErr w:type="spellStart"/>
      <w:r w:rsidRPr="000A4732">
        <w:rPr>
          <w:rFonts w:ascii="Times New Roman" w:hAnsi="Times New Roman"/>
          <w:sz w:val="25"/>
          <w:szCs w:val="25"/>
          <w:lang w:val="uk-UA"/>
        </w:rPr>
        <w:t>нахильно</w:t>
      </w:r>
      <w:proofErr w:type="spellEnd"/>
      <w:r w:rsidRPr="000A4732">
        <w:rPr>
          <w:rFonts w:ascii="Times New Roman" w:hAnsi="Times New Roman"/>
          <w:sz w:val="25"/>
          <w:szCs w:val="25"/>
          <w:lang w:val="uk-UA"/>
        </w:rPr>
        <w:t>-поворотний, жорсткий;</w:t>
      </w:r>
    </w:p>
    <w:p w:rsidR="000A4732" w:rsidRPr="000A4732" w:rsidRDefault="000A4732" w:rsidP="000A4732">
      <w:pPr>
        <w:pStyle w:val="a6"/>
        <w:spacing w:before="0" w:beforeAutospacing="0" w:after="0" w:afterAutospacing="0"/>
        <w:rPr>
          <w:rFonts w:eastAsia="Calibri"/>
          <w:sz w:val="25"/>
          <w:szCs w:val="25"/>
          <w:lang w:val="uk-UA" w:eastAsia="en-US"/>
        </w:rPr>
      </w:pPr>
      <w:r w:rsidRPr="000A4732">
        <w:rPr>
          <w:rFonts w:eastAsia="Calibri"/>
          <w:sz w:val="25"/>
          <w:szCs w:val="25"/>
          <w:lang w:val="uk-UA" w:eastAsia="en-US"/>
        </w:rPr>
        <w:t>Гарантія на комплектуючі:</w:t>
      </w:r>
    </w:p>
    <w:p w:rsidR="000A4732" w:rsidRPr="000A4732" w:rsidRDefault="000A4732" w:rsidP="000A4732">
      <w:pPr>
        <w:pStyle w:val="a6"/>
        <w:spacing w:before="0" w:beforeAutospacing="0" w:after="0" w:afterAutospacing="0"/>
        <w:rPr>
          <w:rFonts w:eastAsia="Calibri"/>
          <w:sz w:val="25"/>
          <w:szCs w:val="25"/>
          <w:lang w:val="uk-UA" w:eastAsia="en-US"/>
        </w:rPr>
      </w:pPr>
      <w:r w:rsidRPr="000A4732">
        <w:rPr>
          <w:rFonts w:eastAsia="Calibri"/>
          <w:sz w:val="25"/>
          <w:szCs w:val="25"/>
          <w:lang w:val="uk-UA" w:eastAsia="en-US"/>
        </w:rPr>
        <w:t>система профілів – 5 років;</w:t>
      </w:r>
    </w:p>
    <w:p w:rsidR="000A4732" w:rsidRPr="000A4732" w:rsidRDefault="000A4732" w:rsidP="000A4732">
      <w:pPr>
        <w:pStyle w:val="a6"/>
        <w:spacing w:before="0" w:beforeAutospacing="0" w:after="0" w:afterAutospacing="0"/>
        <w:rPr>
          <w:rFonts w:eastAsia="Calibri"/>
          <w:sz w:val="25"/>
          <w:szCs w:val="25"/>
          <w:lang w:val="uk-UA" w:eastAsia="en-US"/>
        </w:rPr>
      </w:pPr>
      <w:r w:rsidRPr="000A4732">
        <w:rPr>
          <w:rFonts w:eastAsia="Calibri"/>
          <w:sz w:val="25"/>
          <w:szCs w:val="25"/>
          <w:lang w:val="uk-UA" w:eastAsia="en-US"/>
        </w:rPr>
        <w:t>комплектуючі та фурнітура - 2 роки;</w:t>
      </w:r>
    </w:p>
    <w:p w:rsidR="000A4732" w:rsidRPr="000A4732" w:rsidRDefault="000A4732" w:rsidP="000A4732">
      <w:pPr>
        <w:pStyle w:val="a6"/>
        <w:spacing w:before="0" w:beforeAutospacing="0" w:after="0" w:afterAutospacing="0"/>
        <w:rPr>
          <w:rFonts w:eastAsia="Calibri"/>
          <w:sz w:val="25"/>
          <w:szCs w:val="25"/>
          <w:lang w:val="uk-UA" w:eastAsia="en-US"/>
        </w:rPr>
      </w:pPr>
      <w:r w:rsidRPr="000A4732">
        <w:rPr>
          <w:rFonts w:eastAsia="Calibri"/>
          <w:sz w:val="25"/>
          <w:szCs w:val="25"/>
          <w:lang w:val="uk-UA" w:eastAsia="en-US"/>
        </w:rPr>
        <w:t>склопакети – 5 років;</w:t>
      </w:r>
    </w:p>
    <w:p w:rsidR="000A4732" w:rsidRPr="000A4732" w:rsidRDefault="000A4732" w:rsidP="000A4732">
      <w:pPr>
        <w:pStyle w:val="a6"/>
        <w:spacing w:before="0" w:beforeAutospacing="0" w:after="0" w:afterAutospacing="0"/>
        <w:rPr>
          <w:rFonts w:eastAsia="Calibri"/>
          <w:sz w:val="25"/>
          <w:szCs w:val="25"/>
          <w:lang w:val="uk-UA" w:eastAsia="en-US"/>
        </w:rPr>
      </w:pPr>
      <w:r w:rsidRPr="000A4732">
        <w:rPr>
          <w:rFonts w:eastAsia="Calibri"/>
          <w:sz w:val="25"/>
          <w:szCs w:val="25"/>
          <w:lang w:val="uk-UA" w:eastAsia="en-US"/>
        </w:rPr>
        <w:lastRenderedPageBreak/>
        <w:t>додаткові аксесуари (ущільнювачі, ручки) – 2 роки</w:t>
      </w:r>
      <w:bookmarkStart w:id="0" w:name="_GoBack"/>
      <w:bookmarkEnd w:id="0"/>
    </w:p>
    <w:p w:rsidR="004D1408" w:rsidRDefault="004D1408" w:rsidP="000A4732">
      <w:pPr>
        <w:shd w:val="clear" w:color="auto" w:fill="FFFFFF"/>
        <w:spacing w:after="0" w:line="240" w:lineRule="auto"/>
        <w:jc w:val="both"/>
        <w:outlineLvl w:val="0"/>
        <w:rPr>
          <w:rFonts w:ascii="Times New Roman" w:hAnsi="Times New Roman"/>
          <w:sz w:val="25"/>
          <w:szCs w:val="25"/>
          <w:highlight w:val="yellow"/>
          <w:lang w:val="uk-UA"/>
        </w:rPr>
      </w:pPr>
    </w:p>
    <w:p w:rsidR="000A4732" w:rsidRPr="000A4732" w:rsidRDefault="000A4732" w:rsidP="003F39F4">
      <w:pPr>
        <w:shd w:val="clear" w:color="auto" w:fill="FFFFFF"/>
        <w:spacing w:after="0" w:line="240" w:lineRule="auto"/>
        <w:ind w:firstLine="708"/>
        <w:jc w:val="both"/>
        <w:outlineLvl w:val="0"/>
        <w:rPr>
          <w:rFonts w:ascii="Times New Roman" w:hAnsi="Times New Roman"/>
          <w:sz w:val="25"/>
          <w:szCs w:val="25"/>
          <w:lang w:val="uk-UA"/>
        </w:rPr>
      </w:pPr>
      <w:r w:rsidRPr="000A4732">
        <w:rPr>
          <w:rFonts w:ascii="Times New Roman" w:hAnsi="Times New Roman"/>
          <w:sz w:val="25"/>
          <w:szCs w:val="25"/>
          <w:lang w:val="uk-UA"/>
        </w:rPr>
        <w:t xml:space="preserve">Гарантійний строк настає від дати підписання актів наданих послуг.   </w:t>
      </w:r>
    </w:p>
    <w:p w:rsidR="000A4732" w:rsidRPr="000A4732" w:rsidRDefault="000A4732" w:rsidP="000A4732">
      <w:pPr>
        <w:shd w:val="clear" w:color="auto" w:fill="FFFFFF"/>
        <w:spacing w:after="0" w:line="240" w:lineRule="auto"/>
        <w:jc w:val="both"/>
        <w:outlineLvl w:val="0"/>
        <w:rPr>
          <w:rFonts w:ascii="Times New Roman" w:hAnsi="Times New Roman"/>
          <w:sz w:val="25"/>
          <w:szCs w:val="25"/>
          <w:lang w:val="uk-UA"/>
        </w:rPr>
      </w:pPr>
      <w:r w:rsidRPr="000A4732">
        <w:rPr>
          <w:rFonts w:ascii="Times New Roman" w:hAnsi="Times New Roman"/>
          <w:sz w:val="25"/>
          <w:szCs w:val="25"/>
          <w:lang w:val="uk-UA"/>
        </w:rPr>
        <w:t xml:space="preserve">Учасник за власні кошти усуває недоліки, які виникають внаслідок експлуатації об’єктів впродовж гарантійного терміну експлуатації. </w:t>
      </w:r>
    </w:p>
    <w:p w:rsidR="000A4732" w:rsidRPr="000A4732" w:rsidRDefault="000A4732" w:rsidP="000A4732">
      <w:pPr>
        <w:shd w:val="clear" w:color="auto" w:fill="FFFFFF"/>
        <w:spacing w:after="0" w:line="240" w:lineRule="auto"/>
        <w:jc w:val="both"/>
        <w:outlineLvl w:val="0"/>
        <w:rPr>
          <w:rFonts w:ascii="Times New Roman" w:hAnsi="Times New Roman"/>
          <w:sz w:val="25"/>
          <w:szCs w:val="25"/>
          <w:lang w:val="uk-UA"/>
        </w:rPr>
      </w:pP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Вимоги до склопакетів:</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склопакет 4iх14_Arх4х14_Arх4i– не менше 40 мм.;</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-ущільнювач повинен бути якісним, забезпечувати герметичність, відрізнятися пружністю, тривалою еластичністю (область тривалої еластичності в межах температури від – 40 до + 70 градусів по Цельсію);</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 xml:space="preserve">Склопакет не повинен мати дефектів та пошкоджень під час транспортування від місця завантаження до місця поставки (розвантаження). </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У разі виявлення дефектів або недоліків, Учасник-переможець повинен своїми силами та за свій рахунок усунути виявлені дефекти, недоліки, протягом 14</w:t>
      </w:r>
      <w:r w:rsidR="009A1E74">
        <w:rPr>
          <w:rFonts w:ascii="Times New Roman" w:hAnsi="Times New Roman"/>
          <w:sz w:val="25"/>
          <w:szCs w:val="25"/>
          <w:lang w:val="uk-UA"/>
        </w:rPr>
        <w:t xml:space="preserve"> </w:t>
      </w:r>
      <w:r w:rsidRPr="000A4732">
        <w:rPr>
          <w:rFonts w:ascii="Times New Roman" w:hAnsi="Times New Roman"/>
          <w:sz w:val="25"/>
          <w:szCs w:val="25"/>
          <w:lang w:val="uk-UA"/>
        </w:rPr>
        <w:t>днів з моменту виявлення, без будь-якої додаткової оплати з боку Замовника.</w:t>
      </w:r>
    </w:p>
    <w:p w:rsidR="004D1408" w:rsidRDefault="004D1408" w:rsidP="000A4732">
      <w:pPr>
        <w:pStyle w:val="a6"/>
        <w:spacing w:before="0" w:beforeAutospacing="0" w:after="0" w:afterAutospacing="0"/>
        <w:jc w:val="both"/>
        <w:rPr>
          <w:rFonts w:eastAsia="Calibri"/>
          <w:sz w:val="25"/>
          <w:szCs w:val="25"/>
          <w:lang w:val="uk-UA" w:eastAsia="en-US"/>
        </w:rPr>
      </w:pPr>
    </w:p>
    <w:p w:rsidR="004D1408" w:rsidRDefault="004D1408" w:rsidP="003F39F4">
      <w:pPr>
        <w:spacing w:after="0" w:line="240" w:lineRule="auto"/>
        <w:ind w:firstLine="284"/>
        <w:jc w:val="both"/>
        <w:rPr>
          <w:rFonts w:ascii="Times New Roman" w:hAnsi="Times New Roman"/>
          <w:sz w:val="25"/>
          <w:szCs w:val="25"/>
          <w:lang w:val="uk-UA"/>
        </w:rPr>
      </w:pPr>
      <w:r w:rsidRPr="003F39F4">
        <w:rPr>
          <w:rFonts w:ascii="Times New Roman" w:hAnsi="Times New Roman"/>
          <w:sz w:val="25"/>
          <w:szCs w:val="25"/>
          <w:lang w:val="uk-UA"/>
        </w:rPr>
        <w:t>Вартість послуг Виконавця буде включати всі його витрати, включаючи вартість самого товару, транспортування та розвантаження металопластикових віконних блоків до місця встановлення, демонтаж</w:t>
      </w:r>
      <w:r w:rsidR="00377898" w:rsidRPr="003F39F4">
        <w:rPr>
          <w:rFonts w:ascii="Times New Roman" w:hAnsi="Times New Roman"/>
          <w:sz w:val="25"/>
          <w:szCs w:val="25"/>
          <w:lang w:val="uk-UA"/>
        </w:rPr>
        <w:t xml:space="preserve"> та монтаж</w:t>
      </w:r>
      <w:r w:rsidRPr="003F39F4">
        <w:rPr>
          <w:rFonts w:ascii="Times New Roman" w:hAnsi="Times New Roman"/>
          <w:sz w:val="25"/>
          <w:szCs w:val="25"/>
          <w:lang w:val="uk-UA"/>
        </w:rPr>
        <w:t xml:space="preserve"> віконних коробок, підвіконь та віконних зливів, улаштування укосів,</w:t>
      </w:r>
      <w:r w:rsidR="00377898" w:rsidRPr="003F39F4">
        <w:rPr>
          <w:rFonts w:ascii="Times New Roman" w:hAnsi="Times New Roman"/>
          <w:sz w:val="25"/>
          <w:szCs w:val="25"/>
          <w:lang w:val="uk-UA"/>
        </w:rPr>
        <w:t xml:space="preserve"> вивіз будівельного сміття у строк не пізніше 3-х днів після закінчення виконання </w:t>
      </w:r>
      <w:r w:rsidR="00382E74" w:rsidRPr="003F39F4">
        <w:rPr>
          <w:rFonts w:ascii="Times New Roman" w:hAnsi="Times New Roman"/>
          <w:sz w:val="25"/>
          <w:szCs w:val="25"/>
          <w:lang w:val="uk-UA"/>
        </w:rPr>
        <w:t>послуг</w:t>
      </w:r>
      <w:r w:rsidR="00377898" w:rsidRPr="003F39F4">
        <w:rPr>
          <w:rFonts w:ascii="Times New Roman" w:hAnsi="Times New Roman"/>
          <w:sz w:val="25"/>
          <w:szCs w:val="25"/>
          <w:lang w:val="uk-UA"/>
        </w:rPr>
        <w:t>,</w:t>
      </w:r>
      <w:r w:rsidRPr="003F39F4">
        <w:rPr>
          <w:rFonts w:ascii="Times New Roman" w:hAnsi="Times New Roman"/>
          <w:sz w:val="25"/>
          <w:szCs w:val="25"/>
          <w:lang w:val="uk-UA"/>
        </w:rPr>
        <w:t xml:space="preserve"> податки та збори, а також всі обов’язкові платежі, що мають бути сплачені стосовно наданих послуг. Оплата послуг здійснюється по факту виконаних послуг та перевірки їх якості на підставі Акту </w:t>
      </w:r>
      <w:r w:rsidR="009A1E74">
        <w:rPr>
          <w:rFonts w:ascii="Times New Roman" w:hAnsi="Times New Roman"/>
          <w:sz w:val="25"/>
          <w:szCs w:val="25"/>
          <w:lang w:val="uk-UA"/>
        </w:rPr>
        <w:t xml:space="preserve"> </w:t>
      </w:r>
      <w:r w:rsidRPr="003F39F4">
        <w:rPr>
          <w:rFonts w:ascii="Times New Roman" w:hAnsi="Times New Roman"/>
          <w:sz w:val="25"/>
          <w:szCs w:val="25"/>
          <w:lang w:val="uk-UA"/>
        </w:rPr>
        <w:t>наданих послуг</w:t>
      </w:r>
      <w:r w:rsidR="003F39F4" w:rsidRPr="003F39F4">
        <w:rPr>
          <w:rFonts w:ascii="Times New Roman" w:hAnsi="Times New Roman"/>
          <w:sz w:val="25"/>
          <w:szCs w:val="25"/>
          <w:lang w:val="uk-UA"/>
        </w:rPr>
        <w:t>.</w:t>
      </w:r>
    </w:p>
    <w:p w:rsidR="00377898" w:rsidRPr="004D1408" w:rsidRDefault="00377898" w:rsidP="003F39F4">
      <w:pPr>
        <w:spacing w:after="0" w:line="240" w:lineRule="auto"/>
        <w:jc w:val="both"/>
        <w:rPr>
          <w:rFonts w:ascii="Times New Roman" w:hAnsi="Times New Roman"/>
          <w:sz w:val="25"/>
          <w:szCs w:val="25"/>
          <w:lang w:val="uk-UA"/>
        </w:rPr>
      </w:pPr>
    </w:p>
    <w:p w:rsidR="000A4732" w:rsidRPr="000A4732" w:rsidRDefault="000A4732" w:rsidP="003F39F4">
      <w:pPr>
        <w:widowControl w:val="0"/>
        <w:spacing w:after="0" w:line="240" w:lineRule="auto"/>
        <w:ind w:right="113" w:firstLine="284"/>
        <w:contextualSpacing/>
        <w:jc w:val="both"/>
        <w:rPr>
          <w:rFonts w:ascii="Times New Roman" w:hAnsi="Times New Roman"/>
          <w:sz w:val="25"/>
          <w:szCs w:val="25"/>
          <w:lang w:val="uk-UA"/>
        </w:rPr>
      </w:pPr>
      <w:r w:rsidRPr="000A4732">
        <w:rPr>
          <w:rFonts w:ascii="Times New Roman" w:hAnsi="Times New Roman"/>
          <w:sz w:val="25"/>
          <w:szCs w:val="25"/>
          <w:lang w:val="uk-UA"/>
        </w:rPr>
        <w:t>Термін надання послуг: до 01.07.2024 року</w:t>
      </w:r>
    </w:p>
    <w:p w:rsidR="000A4732" w:rsidRPr="000A4732" w:rsidRDefault="000A4732" w:rsidP="003F39F4">
      <w:pPr>
        <w:pStyle w:val="a6"/>
        <w:spacing w:before="0" w:beforeAutospacing="0" w:after="0" w:afterAutospacing="0"/>
        <w:ind w:firstLine="284"/>
        <w:jc w:val="both"/>
        <w:rPr>
          <w:rFonts w:eastAsia="Calibri"/>
          <w:sz w:val="25"/>
          <w:szCs w:val="25"/>
          <w:lang w:val="uk-UA" w:eastAsia="en-US"/>
        </w:rPr>
      </w:pPr>
      <w:r w:rsidRPr="000A4732">
        <w:rPr>
          <w:rFonts w:eastAsia="Calibri"/>
          <w:sz w:val="25"/>
          <w:szCs w:val="25"/>
          <w:lang w:val="uk-UA" w:eastAsia="en-US"/>
        </w:rPr>
        <w:t>Місце надання послуг:</w:t>
      </w:r>
      <w:r>
        <w:rPr>
          <w:rFonts w:eastAsia="Calibri"/>
          <w:sz w:val="25"/>
          <w:szCs w:val="25"/>
          <w:lang w:val="uk-UA" w:eastAsia="en-US"/>
        </w:rPr>
        <w:t xml:space="preserve"> </w:t>
      </w:r>
      <w:r w:rsidRPr="000A4732">
        <w:rPr>
          <w:rFonts w:eastAsia="Calibri"/>
          <w:sz w:val="25"/>
          <w:szCs w:val="25"/>
          <w:lang w:val="uk-UA" w:eastAsia="en-US"/>
        </w:rPr>
        <w:t>Дніпропетровська область, м. Кривий Ріг, б-р Європейський, буд. 3</w:t>
      </w:r>
    </w:p>
    <w:p w:rsidR="000A4732" w:rsidRPr="000A4732" w:rsidRDefault="000A4732" w:rsidP="000A4732">
      <w:pPr>
        <w:shd w:val="clear" w:color="auto" w:fill="FFFFFF"/>
        <w:spacing w:after="0" w:line="240" w:lineRule="auto"/>
        <w:jc w:val="both"/>
        <w:outlineLvl w:val="0"/>
        <w:rPr>
          <w:rFonts w:ascii="Times New Roman" w:hAnsi="Times New Roman"/>
          <w:sz w:val="25"/>
          <w:szCs w:val="25"/>
          <w:lang w:val="uk-UA"/>
        </w:rPr>
      </w:pPr>
      <w:r w:rsidRPr="000A4732">
        <w:rPr>
          <w:rFonts w:ascii="Times New Roman" w:hAnsi="Times New Roman"/>
          <w:sz w:val="25"/>
          <w:szCs w:val="25"/>
          <w:lang w:val="uk-UA"/>
        </w:rPr>
        <w:tab/>
      </w:r>
    </w:p>
    <w:p w:rsidR="000A4732" w:rsidRPr="000A4732" w:rsidRDefault="000A4732" w:rsidP="003F39F4">
      <w:pPr>
        <w:spacing w:after="0" w:line="240" w:lineRule="auto"/>
        <w:ind w:firstLine="284"/>
        <w:jc w:val="both"/>
        <w:rPr>
          <w:rFonts w:ascii="Times New Roman" w:hAnsi="Times New Roman"/>
          <w:sz w:val="25"/>
          <w:szCs w:val="25"/>
          <w:lang w:val="uk-UA"/>
        </w:rPr>
      </w:pPr>
      <w:r w:rsidRPr="000A4732">
        <w:rPr>
          <w:rFonts w:ascii="Times New Roman" w:hAnsi="Times New Roman"/>
          <w:sz w:val="25"/>
          <w:szCs w:val="25"/>
          <w:lang w:val="uk-UA"/>
        </w:rPr>
        <w:t>Послуги повинні виконуватись згідно технології надання даних послуг з дотриманням діючих норм і правил з використанням конкретних матеріалів і конструкцій, безпечних умов праці.</w:t>
      </w:r>
    </w:p>
    <w:p w:rsidR="000A4732" w:rsidRPr="000A4732" w:rsidRDefault="000A4732" w:rsidP="000A4732">
      <w:pPr>
        <w:pStyle w:val="a3"/>
        <w:spacing w:after="0" w:line="240" w:lineRule="auto"/>
        <w:ind w:left="960"/>
        <w:jc w:val="both"/>
        <w:rPr>
          <w:rFonts w:ascii="Times New Roman" w:eastAsia="Andale Sans UI" w:hAnsi="Times New Roman"/>
          <w:kern w:val="3"/>
          <w:sz w:val="25"/>
          <w:szCs w:val="25"/>
          <w:lang w:val="uk-UA" w:eastAsia="ja-JP" w:bidi="fa-IR"/>
        </w:rPr>
      </w:pPr>
    </w:p>
    <w:sectPr w:rsidR="000A4732" w:rsidRPr="000A4732" w:rsidSect="003F39F4">
      <w:pgSz w:w="11906" w:h="16838"/>
      <w:pgMar w:top="1276" w:right="566"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0BE"/>
    <w:multiLevelType w:val="hybridMultilevel"/>
    <w:tmpl w:val="47D8984A"/>
    <w:lvl w:ilvl="0" w:tplc="A094C37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21543CCD"/>
    <w:multiLevelType w:val="hybridMultilevel"/>
    <w:tmpl w:val="D58AB156"/>
    <w:lvl w:ilvl="0" w:tplc="0C1A8E34">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F7D56BF"/>
    <w:multiLevelType w:val="multilevel"/>
    <w:tmpl w:val="3F7D56BF"/>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2B5CDF"/>
    <w:multiLevelType w:val="hybridMultilevel"/>
    <w:tmpl w:val="47D8984A"/>
    <w:lvl w:ilvl="0" w:tplc="A094C37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48A06C54"/>
    <w:multiLevelType w:val="hybridMultilevel"/>
    <w:tmpl w:val="BFA0F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AD530E"/>
    <w:multiLevelType w:val="hybridMultilevel"/>
    <w:tmpl w:val="369C907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2C52B4"/>
    <w:multiLevelType w:val="hybridMultilevel"/>
    <w:tmpl w:val="91F870C6"/>
    <w:lvl w:ilvl="0" w:tplc="B9FED9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1A3BBB"/>
    <w:multiLevelType w:val="hybridMultilevel"/>
    <w:tmpl w:val="FAD45D30"/>
    <w:lvl w:ilvl="0" w:tplc="F8DCDC2A">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5D514561"/>
    <w:multiLevelType w:val="hybridMultilevel"/>
    <w:tmpl w:val="DF9847AE"/>
    <w:lvl w:ilvl="0" w:tplc="795ADEC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61DA2A6C"/>
    <w:multiLevelType w:val="hybridMultilevel"/>
    <w:tmpl w:val="1D96601C"/>
    <w:lvl w:ilvl="0" w:tplc="B6E04172">
      <w:start w:val="1"/>
      <w:numFmt w:val="decimal"/>
      <w:lvlText w:val="%1."/>
      <w:lvlJc w:val="left"/>
      <w:pPr>
        <w:ind w:left="927" w:hanging="360"/>
      </w:pPr>
      <w:rPr>
        <w:rFonts w:eastAsia="Andale Sans U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2790475"/>
    <w:multiLevelType w:val="hybridMultilevel"/>
    <w:tmpl w:val="F5AC5946"/>
    <w:lvl w:ilvl="0" w:tplc="31EC9EF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AD3E1C"/>
    <w:multiLevelType w:val="hybridMultilevel"/>
    <w:tmpl w:val="968E3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6"/>
  </w:num>
  <w:num w:numId="5">
    <w:abstractNumId w:val="7"/>
  </w:num>
  <w:num w:numId="6">
    <w:abstractNumId w:val="3"/>
  </w:num>
  <w:num w:numId="7">
    <w:abstractNumId w:val="0"/>
  </w:num>
  <w:num w:numId="8">
    <w:abstractNumId w:val="9"/>
  </w:num>
  <w:num w:numId="9">
    <w:abstractNumId w:val="1"/>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D0"/>
    <w:rsid w:val="000134E5"/>
    <w:rsid w:val="00016E2B"/>
    <w:rsid w:val="000669C3"/>
    <w:rsid w:val="00080D28"/>
    <w:rsid w:val="000A4732"/>
    <w:rsid w:val="000B7404"/>
    <w:rsid w:val="00157305"/>
    <w:rsid w:val="001731C6"/>
    <w:rsid w:val="001A4D51"/>
    <w:rsid w:val="00297214"/>
    <w:rsid w:val="00300198"/>
    <w:rsid w:val="00340087"/>
    <w:rsid w:val="00377898"/>
    <w:rsid w:val="00382E74"/>
    <w:rsid w:val="003F39F4"/>
    <w:rsid w:val="00420F2F"/>
    <w:rsid w:val="004352F4"/>
    <w:rsid w:val="004A5192"/>
    <w:rsid w:val="004B55A3"/>
    <w:rsid w:val="004B5F2B"/>
    <w:rsid w:val="004D1408"/>
    <w:rsid w:val="004F3C45"/>
    <w:rsid w:val="00527913"/>
    <w:rsid w:val="005B4D96"/>
    <w:rsid w:val="005D67DD"/>
    <w:rsid w:val="005E7F48"/>
    <w:rsid w:val="005F5FB4"/>
    <w:rsid w:val="00654CE4"/>
    <w:rsid w:val="006F41B7"/>
    <w:rsid w:val="007215E5"/>
    <w:rsid w:val="007568F6"/>
    <w:rsid w:val="00763844"/>
    <w:rsid w:val="00773622"/>
    <w:rsid w:val="007A4D06"/>
    <w:rsid w:val="00850DC6"/>
    <w:rsid w:val="00865DD2"/>
    <w:rsid w:val="008B7469"/>
    <w:rsid w:val="00951D6C"/>
    <w:rsid w:val="009A1E74"/>
    <w:rsid w:val="009D66F5"/>
    <w:rsid w:val="00B50C24"/>
    <w:rsid w:val="00B87D47"/>
    <w:rsid w:val="00BB5959"/>
    <w:rsid w:val="00BC3161"/>
    <w:rsid w:val="00BF2C2C"/>
    <w:rsid w:val="00C24C64"/>
    <w:rsid w:val="00C306B9"/>
    <w:rsid w:val="00D169CE"/>
    <w:rsid w:val="00DA6A74"/>
    <w:rsid w:val="00DF6486"/>
    <w:rsid w:val="00E573F3"/>
    <w:rsid w:val="00EA7CC6"/>
    <w:rsid w:val="00EB2FDC"/>
    <w:rsid w:val="00EE59D1"/>
    <w:rsid w:val="00F0101E"/>
    <w:rsid w:val="00F40256"/>
    <w:rsid w:val="00FC7A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4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45"/>
    <w:pPr>
      <w:ind w:left="720"/>
      <w:contextualSpacing/>
    </w:pPr>
  </w:style>
  <w:style w:type="paragraph" w:customStyle="1" w:styleId="Standard">
    <w:name w:val="Standard"/>
    <w:rsid w:val="00BB595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yle1">
    <w:name w:val="Style1"/>
    <w:basedOn w:val="a"/>
    <w:uiPriority w:val="99"/>
    <w:rsid w:val="008B746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8B7469"/>
    <w:rPr>
      <w:rFonts w:ascii="Times New Roman" w:hAnsi="Times New Roman" w:cs="Times New Roman"/>
      <w:sz w:val="30"/>
      <w:szCs w:val="30"/>
    </w:rPr>
  </w:style>
  <w:style w:type="character" w:customStyle="1" w:styleId="rvts0">
    <w:name w:val="rvts0"/>
    <w:rsid w:val="00420F2F"/>
    <w:rPr>
      <w:rFonts w:cs="Times New Roman"/>
    </w:rPr>
  </w:style>
  <w:style w:type="paragraph" w:customStyle="1" w:styleId="rvps2">
    <w:name w:val="rvps2"/>
    <w:basedOn w:val="a"/>
    <w:rsid w:val="00420F2F"/>
    <w:pPr>
      <w:spacing w:before="100" w:beforeAutospacing="1" w:after="100" w:afterAutospacing="1" w:line="240" w:lineRule="auto"/>
    </w:pPr>
    <w:rPr>
      <w:rFonts w:ascii="Times New Roman" w:hAnsi="Times New Roman"/>
      <w:sz w:val="24"/>
      <w:szCs w:val="24"/>
      <w:lang w:val="uk-UA" w:eastAsia="uk-UA"/>
    </w:rPr>
  </w:style>
  <w:style w:type="paragraph" w:customStyle="1" w:styleId="Style2">
    <w:name w:val="Style2"/>
    <w:basedOn w:val="a"/>
    <w:uiPriority w:val="99"/>
    <w:rsid w:val="007568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7568F6"/>
    <w:rPr>
      <w:rFonts w:ascii="Times New Roman" w:hAnsi="Times New Roman" w:cs="Times New Roman"/>
      <w:b/>
      <w:bCs/>
      <w:i/>
      <w:iCs/>
      <w:spacing w:val="-20"/>
      <w:sz w:val="24"/>
      <w:szCs w:val="24"/>
    </w:rPr>
  </w:style>
  <w:style w:type="paragraph" w:styleId="a4">
    <w:name w:val="No Spacing"/>
    <w:uiPriority w:val="1"/>
    <w:qFormat/>
    <w:rsid w:val="00E573F3"/>
    <w:pPr>
      <w:spacing w:after="0" w:line="240" w:lineRule="auto"/>
    </w:pPr>
    <w:rPr>
      <w:rFonts w:ascii="Calibri" w:eastAsia="Calibri" w:hAnsi="Calibri" w:cs="Times New Roman"/>
      <w:lang w:val="ru-RU"/>
    </w:rPr>
  </w:style>
  <w:style w:type="table" w:styleId="a5">
    <w:name w:val="Table Grid"/>
    <w:basedOn w:val="a1"/>
    <w:uiPriority w:val="39"/>
    <w:rsid w:val="000A473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17 Знак1,Обычный (веб) Знак1"/>
    <w:basedOn w:val="a"/>
    <w:link w:val="a7"/>
    <w:uiPriority w:val="99"/>
    <w:unhideWhenUsed/>
    <w:qFormat/>
    <w:rsid w:val="000A47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sid w:val="000A4732"/>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382E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2E74"/>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4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45"/>
    <w:pPr>
      <w:ind w:left="720"/>
      <w:contextualSpacing/>
    </w:pPr>
  </w:style>
  <w:style w:type="paragraph" w:customStyle="1" w:styleId="Standard">
    <w:name w:val="Standard"/>
    <w:rsid w:val="00BB595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yle1">
    <w:name w:val="Style1"/>
    <w:basedOn w:val="a"/>
    <w:uiPriority w:val="99"/>
    <w:rsid w:val="008B746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8B7469"/>
    <w:rPr>
      <w:rFonts w:ascii="Times New Roman" w:hAnsi="Times New Roman" w:cs="Times New Roman"/>
      <w:sz w:val="30"/>
      <w:szCs w:val="30"/>
    </w:rPr>
  </w:style>
  <w:style w:type="character" w:customStyle="1" w:styleId="rvts0">
    <w:name w:val="rvts0"/>
    <w:rsid w:val="00420F2F"/>
    <w:rPr>
      <w:rFonts w:cs="Times New Roman"/>
    </w:rPr>
  </w:style>
  <w:style w:type="paragraph" w:customStyle="1" w:styleId="rvps2">
    <w:name w:val="rvps2"/>
    <w:basedOn w:val="a"/>
    <w:rsid w:val="00420F2F"/>
    <w:pPr>
      <w:spacing w:before="100" w:beforeAutospacing="1" w:after="100" w:afterAutospacing="1" w:line="240" w:lineRule="auto"/>
    </w:pPr>
    <w:rPr>
      <w:rFonts w:ascii="Times New Roman" w:hAnsi="Times New Roman"/>
      <w:sz w:val="24"/>
      <w:szCs w:val="24"/>
      <w:lang w:val="uk-UA" w:eastAsia="uk-UA"/>
    </w:rPr>
  </w:style>
  <w:style w:type="paragraph" w:customStyle="1" w:styleId="Style2">
    <w:name w:val="Style2"/>
    <w:basedOn w:val="a"/>
    <w:uiPriority w:val="99"/>
    <w:rsid w:val="007568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7568F6"/>
    <w:rPr>
      <w:rFonts w:ascii="Times New Roman" w:hAnsi="Times New Roman" w:cs="Times New Roman"/>
      <w:b/>
      <w:bCs/>
      <w:i/>
      <w:iCs/>
      <w:spacing w:val="-20"/>
      <w:sz w:val="24"/>
      <w:szCs w:val="24"/>
    </w:rPr>
  </w:style>
  <w:style w:type="paragraph" w:styleId="a4">
    <w:name w:val="No Spacing"/>
    <w:uiPriority w:val="1"/>
    <w:qFormat/>
    <w:rsid w:val="00E573F3"/>
    <w:pPr>
      <w:spacing w:after="0" w:line="240" w:lineRule="auto"/>
    </w:pPr>
    <w:rPr>
      <w:rFonts w:ascii="Calibri" w:eastAsia="Calibri" w:hAnsi="Calibri" w:cs="Times New Roman"/>
      <w:lang w:val="ru-RU"/>
    </w:rPr>
  </w:style>
  <w:style w:type="table" w:styleId="a5">
    <w:name w:val="Table Grid"/>
    <w:basedOn w:val="a1"/>
    <w:uiPriority w:val="39"/>
    <w:rsid w:val="000A473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17 Знак1,Обычный (веб) Знак1"/>
    <w:basedOn w:val="a"/>
    <w:link w:val="a7"/>
    <w:uiPriority w:val="99"/>
    <w:unhideWhenUsed/>
    <w:qFormat/>
    <w:rsid w:val="000A47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sid w:val="000A4732"/>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382E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2E74"/>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228">
      <w:bodyDiv w:val="1"/>
      <w:marLeft w:val="0"/>
      <w:marRight w:val="0"/>
      <w:marTop w:val="0"/>
      <w:marBottom w:val="0"/>
      <w:divBdr>
        <w:top w:val="none" w:sz="0" w:space="0" w:color="auto"/>
        <w:left w:val="none" w:sz="0" w:space="0" w:color="auto"/>
        <w:bottom w:val="none" w:sz="0" w:space="0" w:color="auto"/>
        <w:right w:val="none" w:sz="0" w:space="0" w:color="auto"/>
      </w:divBdr>
    </w:div>
    <w:div w:id="305358607">
      <w:bodyDiv w:val="1"/>
      <w:marLeft w:val="0"/>
      <w:marRight w:val="0"/>
      <w:marTop w:val="0"/>
      <w:marBottom w:val="0"/>
      <w:divBdr>
        <w:top w:val="none" w:sz="0" w:space="0" w:color="auto"/>
        <w:left w:val="none" w:sz="0" w:space="0" w:color="auto"/>
        <w:bottom w:val="none" w:sz="0" w:space="0" w:color="auto"/>
        <w:right w:val="none" w:sz="0" w:space="0" w:color="auto"/>
      </w:divBdr>
    </w:div>
    <w:div w:id="11911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ugkx550_2</dc:creator>
  <cp:keywords/>
  <dc:description/>
  <cp:lastModifiedBy>trade511</cp:lastModifiedBy>
  <cp:revision>47</cp:revision>
  <cp:lastPrinted>2024-04-22T08:13:00Z</cp:lastPrinted>
  <dcterms:created xsi:type="dcterms:W3CDTF">2023-02-10T12:11:00Z</dcterms:created>
  <dcterms:modified xsi:type="dcterms:W3CDTF">2024-04-22T08:13:00Z</dcterms:modified>
</cp:coreProperties>
</file>