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34" w:rsidRDefault="00121134">
      <w:pPr>
        <w:spacing w:after="0" w:line="240" w:lineRule="auto"/>
        <w:ind w:left="5660"/>
        <w:jc w:val="right"/>
        <w:rPr>
          <w:rFonts w:ascii="Times New Roman" w:eastAsia="Times New Roman" w:hAnsi="Times New Roman" w:cs="Times New Roman"/>
          <w:b/>
          <w:color w:val="000000"/>
          <w:sz w:val="24"/>
          <w:szCs w:val="24"/>
        </w:rPr>
      </w:pPr>
    </w:p>
    <w:p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C2AFC" w:rsidRPr="00720F45" w:rsidRDefault="006C2AFC" w:rsidP="006C2AFC">
      <w:pPr>
        <w:jc w:val="right"/>
        <w:rPr>
          <w:rFonts w:ascii="Times New Roman" w:hAnsi="Times New Roman" w:cs="Times New Roman"/>
          <w:b/>
          <w:bCs/>
        </w:rPr>
      </w:pPr>
    </w:p>
    <w:p w:rsidR="006C2AFC" w:rsidRPr="00720F45" w:rsidRDefault="006C2AFC" w:rsidP="006C2AFC">
      <w:pPr>
        <w:jc w:val="center"/>
        <w:rPr>
          <w:rFonts w:ascii="Times New Roman" w:hAnsi="Times New Roman" w:cs="Times New Roman"/>
          <w:b/>
        </w:rPr>
      </w:pPr>
      <w:r w:rsidRPr="00720F45">
        <w:rPr>
          <w:rFonts w:ascii="Times New Roman" w:hAnsi="Times New Roman" w:cs="Times New Roman"/>
          <w:b/>
        </w:rPr>
        <w:t xml:space="preserve">ІНФОРМАЦІЯ ПРО НЕОБХІДНІ ТЕХНІЧНІ, ЯКІСНІ ТА КІЛЬКІСНІ ХАРАКТЕРИСТИКИ ПРЕДМЕТА ЗАКУПІВЛІ </w:t>
      </w:r>
    </w:p>
    <w:p w:rsidR="006C2AFC" w:rsidRPr="005137B8" w:rsidRDefault="006C2AFC" w:rsidP="006C2AFC">
      <w:pPr>
        <w:spacing w:after="0" w:line="240" w:lineRule="auto"/>
        <w:ind w:firstLine="567"/>
        <w:jc w:val="both"/>
        <w:rPr>
          <w:rFonts w:ascii="Times New Roman" w:hAnsi="Times New Roman"/>
          <w:spacing w:val="7"/>
          <w:sz w:val="24"/>
          <w:szCs w:val="24"/>
        </w:rPr>
      </w:pPr>
      <w:r w:rsidRPr="005137B8">
        <w:rPr>
          <w:rFonts w:ascii="Times New Roman" w:hAnsi="Times New Roman"/>
          <w:spacing w:val="7"/>
          <w:sz w:val="24"/>
          <w:szCs w:val="24"/>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6C2AFC" w:rsidRPr="005137B8" w:rsidRDefault="006C2AFC" w:rsidP="006C2AFC">
      <w:pPr>
        <w:spacing w:after="0" w:line="240" w:lineRule="auto"/>
        <w:ind w:firstLine="567"/>
        <w:jc w:val="both"/>
        <w:rPr>
          <w:rFonts w:ascii="Times New Roman" w:hAnsi="Times New Roman"/>
          <w:b/>
          <w:spacing w:val="7"/>
          <w:sz w:val="24"/>
          <w:szCs w:val="24"/>
        </w:rPr>
      </w:pPr>
    </w:p>
    <w:p w:rsidR="006C2AFC" w:rsidRPr="00E0474B" w:rsidRDefault="006C2AFC" w:rsidP="006C2AFC">
      <w:pPr>
        <w:spacing w:after="0" w:line="240" w:lineRule="auto"/>
        <w:ind w:firstLine="567"/>
        <w:jc w:val="both"/>
        <w:rPr>
          <w:rFonts w:ascii="Times New Roman" w:hAnsi="Times New Roman"/>
          <w:b/>
          <w:spacing w:val="7"/>
          <w:sz w:val="24"/>
          <w:szCs w:val="24"/>
        </w:rPr>
      </w:pPr>
      <w:r w:rsidRPr="00E0474B">
        <w:rPr>
          <w:rFonts w:ascii="Times New Roman" w:hAnsi="Times New Roman"/>
          <w:b/>
          <w:spacing w:val="7"/>
          <w:sz w:val="24"/>
          <w:szCs w:val="24"/>
        </w:rPr>
        <w:t xml:space="preserve">Предмет закупівлі: </w:t>
      </w:r>
      <w:proofErr w:type="spellStart"/>
      <w:r w:rsidRPr="00E0474B">
        <w:rPr>
          <w:rFonts w:ascii="Times New Roman" w:hAnsi="Times New Roman"/>
          <w:b/>
          <w:spacing w:val="7"/>
          <w:sz w:val="24"/>
          <w:szCs w:val="24"/>
        </w:rPr>
        <w:t>ДК</w:t>
      </w:r>
      <w:proofErr w:type="spellEnd"/>
      <w:r w:rsidRPr="00E0474B">
        <w:rPr>
          <w:rFonts w:ascii="Times New Roman" w:hAnsi="Times New Roman"/>
          <w:b/>
          <w:spacing w:val="7"/>
          <w:sz w:val="24"/>
          <w:szCs w:val="24"/>
        </w:rPr>
        <w:t xml:space="preserve"> 021:2015, код 09310000-5 – Електрична енергія (Електрична енергія), - товар, у вигляді активної електричної енергії.</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1417"/>
        <w:gridCol w:w="1560"/>
        <w:gridCol w:w="4266"/>
      </w:tblGrid>
      <w:tr w:rsidR="006C2AFC" w:rsidRPr="00E0474B" w:rsidTr="00A46977">
        <w:trPr>
          <w:trHeight w:val="286"/>
        </w:trPr>
        <w:tc>
          <w:tcPr>
            <w:tcW w:w="1290" w:type="pct"/>
          </w:tcPr>
          <w:p w:rsidR="006C2AFC" w:rsidRPr="00E0474B" w:rsidRDefault="006C2AFC" w:rsidP="00A46977">
            <w:pPr>
              <w:spacing w:after="0" w:line="240" w:lineRule="auto"/>
              <w:jc w:val="center"/>
              <w:rPr>
                <w:rFonts w:ascii="Times New Roman" w:hAnsi="Times New Roman"/>
                <w:b/>
              </w:rPr>
            </w:pPr>
            <w:r w:rsidRPr="00E0474B">
              <w:rPr>
                <w:rFonts w:ascii="Times New Roman" w:hAnsi="Times New Roman"/>
                <w:b/>
              </w:rPr>
              <w:t xml:space="preserve">Найменування товару </w:t>
            </w:r>
          </w:p>
        </w:tc>
        <w:tc>
          <w:tcPr>
            <w:tcW w:w="726" w:type="pct"/>
            <w:shd w:val="clear" w:color="auto" w:fill="auto"/>
            <w:hideMark/>
          </w:tcPr>
          <w:p w:rsidR="006C2AFC" w:rsidRPr="00E0474B" w:rsidRDefault="006C2AFC" w:rsidP="00A46977">
            <w:pPr>
              <w:spacing w:after="0" w:line="240" w:lineRule="auto"/>
              <w:jc w:val="center"/>
              <w:rPr>
                <w:rFonts w:ascii="Times New Roman" w:hAnsi="Times New Roman"/>
                <w:b/>
              </w:rPr>
            </w:pPr>
            <w:r w:rsidRPr="00E0474B">
              <w:rPr>
                <w:rFonts w:ascii="Times New Roman" w:hAnsi="Times New Roman"/>
                <w:b/>
              </w:rPr>
              <w:t>Од. виміру</w:t>
            </w:r>
          </w:p>
        </w:tc>
        <w:tc>
          <w:tcPr>
            <w:tcW w:w="799" w:type="pct"/>
            <w:shd w:val="clear" w:color="auto" w:fill="auto"/>
            <w:hideMark/>
          </w:tcPr>
          <w:p w:rsidR="006C2AFC" w:rsidRPr="00E0474B" w:rsidRDefault="006C2AFC" w:rsidP="00A46977">
            <w:pPr>
              <w:spacing w:after="0" w:line="240" w:lineRule="auto"/>
              <w:jc w:val="center"/>
              <w:rPr>
                <w:rFonts w:ascii="Times New Roman" w:hAnsi="Times New Roman"/>
                <w:b/>
              </w:rPr>
            </w:pPr>
            <w:r w:rsidRPr="00E0474B">
              <w:rPr>
                <w:rFonts w:ascii="Times New Roman" w:hAnsi="Times New Roman"/>
                <w:b/>
              </w:rPr>
              <w:t>Кількість</w:t>
            </w:r>
          </w:p>
        </w:tc>
        <w:tc>
          <w:tcPr>
            <w:tcW w:w="2185" w:type="pct"/>
          </w:tcPr>
          <w:p w:rsidR="006C2AFC" w:rsidRPr="00E0474B" w:rsidRDefault="006C2AFC" w:rsidP="00A46977">
            <w:pPr>
              <w:spacing w:after="0" w:line="240" w:lineRule="auto"/>
              <w:jc w:val="center"/>
              <w:rPr>
                <w:rFonts w:ascii="Times New Roman" w:hAnsi="Times New Roman"/>
                <w:b/>
              </w:rPr>
            </w:pPr>
            <w:r w:rsidRPr="00E0474B">
              <w:rPr>
                <w:rFonts w:ascii="Times New Roman" w:hAnsi="Times New Roman"/>
                <w:b/>
              </w:rPr>
              <w:t>Технічна характеристика</w:t>
            </w:r>
          </w:p>
        </w:tc>
      </w:tr>
      <w:tr w:rsidR="006C2AFC" w:rsidRPr="00E0474B" w:rsidTr="00A46977">
        <w:trPr>
          <w:trHeight w:val="286"/>
        </w:trPr>
        <w:tc>
          <w:tcPr>
            <w:tcW w:w="1290" w:type="pct"/>
            <w:vAlign w:val="center"/>
          </w:tcPr>
          <w:p w:rsidR="006C2AFC" w:rsidRPr="00E0474B" w:rsidRDefault="006C2AFC" w:rsidP="00A46977">
            <w:pPr>
              <w:spacing w:after="0" w:line="240" w:lineRule="auto"/>
              <w:jc w:val="center"/>
              <w:rPr>
                <w:rFonts w:ascii="Times New Roman" w:hAnsi="Times New Roman"/>
              </w:rPr>
            </w:pPr>
            <w:proofErr w:type="spellStart"/>
            <w:r w:rsidRPr="00E0474B">
              <w:rPr>
                <w:rFonts w:ascii="Times New Roman" w:hAnsi="Times New Roman"/>
              </w:rPr>
              <w:t>ДК</w:t>
            </w:r>
            <w:proofErr w:type="spellEnd"/>
            <w:r w:rsidRPr="00E0474B">
              <w:rPr>
                <w:rFonts w:ascii="Times New Roman" w:hAnsi="Times New Roman"/>
              </w:rPr>
              <w:t xml:space="preserve"> 021:2015: код 09310000-5 «Електрична енергія» (Електрична енергія)</w:t>
            </w:r>
          </w:p>
          <w:p w:rsidR="006C2AFC" w:rsidRPr="00E0474B" w:rsidRDefault="006C2AFC" w:rsidP="00A46977">
            <w:pPr>
              <w:spacing w:after="0" w:line="240" w:lineRule="auto"/>
              <w:jc w:val="center"/>
              <w:rPr>
                <w:rFonts w:ascii="Times New Roman" w:hAnsi="Times New Roman"/>
              </w:rPr>
            </w:pPr>
          </w:p>
        </w:tc>
        <w:tc>
          <w:tcPr>
            <w:tcW w:w="726" w:type="pct"/>
            <w:shd w:val="clear" w:color="auto" w:fill="auto"/>
            <w:noWrap/>
            <w:vAlign w:val="center"/>
          </w:tcPr>
          <w:p w:rsidR="006C2AFC" w:rsidRPr="00E0474B" w:rsidRDefault="006C2AFC" w:rsidP="00A46977">
            <w:pPr>
              <w:spacing w:after="0" w:line="240" w:lineRule="auto"/>
              <w:jc w:val="center"/>
              <w:rPr>
                <w:rFonts w:ascii="Times New Roman" w:hAnsi="Times New Roman"/>
              </w:rPr>
            </w:pPr>
            <w:r>
              <w:rPr>
                <w:rFonts w:ascii="Times New Roman" w:hAnsi="Times New Roman"/>
              </w:rPr>
              <w:t>кВт*</w:t>
            </w:r>
            <w:r w:rsidRPr="00E0474B">
              <w:rPr>
                <w:rFonts w:ascii="Times New Roman" w:hAnsi="Times New Roman"/>
              </w:rPr>
              <w:t>год.</w:t>
            </w:r>
          </w:p>
        </w:tc>
        <w:tc>
          <w:tcPr>
            <w:tcW w:w="799" w:type="pct"/>
            <w:shd w:val="clear" w:color="auto" w:fill="auto"/>
            <w:noWrap/>
            <w:vAlign w:val="center"/>
          </w:tcPr>
          <w:p w:rsidR="006C2AFC" w:rsidRPr="00E0474B" w:rsidRDefault="00261E96" w:rsidP="00A46977">
            <w:pPr>
              <w:spacing w:after="0" w:line="240" w:lineRule="auto"/>
              <w:jc w:val="center"/>
              <w:rPr>
                <w:rFonts w:ascii="Times New Roman" w:hAnsi="Times New Roman"/>
                <w:shd w:val="clear" w:color="auto" w:fill="F9F9F9"/>
              </w:rPr>
            </w:pPr>
            <w:r>
              <w:rPr>
                <w:rFonts w:ascii="Times New Roman" w:hAnsi="Times New Roman"/>
                <w:b/>
                <w:color w:val="000000"/>
                <w:sz w:val="24"/>
                <w:szCs w:val="24"/>
              </w:rPr>
              <w:t>208 333</w:t>
            </w:r>
          </w:p>
        </w:tc>
        <w:tc>
          <w:tcPr>
            <w:tcW w:w="2185" w:type="pct"/>
          </w:tcPr>
          <w:p w:rsidR="006C2AFC" w:rsidRPr="00AB21BF" w:rsidRDefault="006C2AFC" w:rsidP="00A46977">
            <w:pPr>
              <w:spacing w:after="0" w:line="240" w:lineRule="auto"/>
              <w:jc w:val="both"/>
              <w:rPr>
                <w:rFonts w:ascii="Times New Roman" w:hAnsi="Times New Roman"/>
                <w:b/>
              </w:rPr>
            </w:pPr>
            <w:r w:rsidRPr="00AB21BF">
              <w:rPr>
                <w:rFonts w:ascii="Times New Roman" w:hAnsi="Times New Roman"/>
                <w:lang w:eastAsia="ru-RU"/>
              </w:rPr>
              <w:t>Показники електричної енергії, яка постачається Замовнику, повинн</w:t>
            </w:r>
            <w:r>
              <w:rPr>
                <w:rFonts w:ascii="Times New Roman" w:hAnsi="Times New Roman"/>
                <w:lang w:eastAsia="ru-RU"/>
              </w:rPr>
              <w:t>і</w:t>
            </w:r>
            <w:r w:rsidRPr="00AB21BF">
              <w:rPr>
                <w:rFonts w:ascii="Times New Roman" w:hAnsi="Times New Roman"/>
                <w:lang w:eastAsia="ru-RU"/>
              </w:rPr>
              <w:t xml:space="preserve"> відповідати </w:t>
            </w:r>
            <w:r w:rsidRPr="00AB21BF">
              <w:rPr>
                <w:rFonts w:ascii="Times New Roman" w:eastAsia="Times New Roman" w:hAnsi="Times New Roman"/>
                <w:color w:val="000000"/>
                <w:lang w:eastAsia="ru-RU"/>
              </w:rPr>
              <w:t>ДСТУ EN 50160:2014 «Характеристики напруги електропостачання в електричних мережах загально</w:t>
            </w:r>
            <w:r>
              <w:rPr>
                <w:rFonts w:ascii="Times New Roman" w:eastAsia="Times New Roman" w:hAnsi="Times New Roman"/>
                <w:color w:val="000000"/>
                <w:lang w:eastAsia="ru-RU"/>
              </w:rPr>
              <w:t>го</w:t>
            </w:r>
            <w:r w:rsidRPr="00AB21BF">
              <w:rPr>
                <w:rFonts w:ascii="Times New Roman" w:eastAsia="Times New Roman" w:hAnsi="Times New Roman"/>
                <w:color w:val="000000"/>
                <w:lang w:eastAsia="ru-RU"/>
              </w:rPr>
              <w:t xml:space="preserve"> призначен</w:t>
            </w:r>
            <w:r>
              <w:rPr>
                <w:rFonts w:ascii="Times New Roman" w:eastAsia="Times New Roman" w:hAnsi="Times New Roman"/>
                <w:color w:val="000000"/>
                <w:lang w:eastAsia="ru-RU"/>
              </w:rPr>
              <w:t>ня</w:t>
            </w:r>
            <w:r w:rsidRPr="00AB21BF">
              <w:rPr>
                <w:rFonts w:ascii="Times New Roman" w:eastAsia="Times New Roman" w:hAnsi="Times New Roman"/>
                <w:color w:val="000000"/>
                <w:lang w:eastAsia="ru-RU"/>
              </w:rPr>
              <w:t>»</w:t>
            </w:r>
          </w:p>
        </w:tc>
      </w:tr>
    </w:tbl>
    <w:p w:rsidR="006C2AFC" w:rsidRDefault="006C2AFC" w:rsidP="006C2AFC">
      <w:pPr>
        <w:jc w:val="center"/>
        <w:rPr>
          <w:rFonts w:ascii="Times New Roman" w:hAnsi="Times New Roman" w:cs="Times New Roman"/>
          <w:b/>
        </w:rPr>
      </w:pPr>
    </w:p>
    <w:p w:rsidR="006C2AFC" w:rsidRPr="006A2F58" w:rsidRDefault="006C2AFC" w:rsidP="006C2AFC">
      <w:pPr>
        <w:jc w:val="both"/>
        <w:rPr>
          <w:rFonts w:ascii="Times New Roman" w:hAnsi="Times New Roman" w:cs="Times New Roman"/>
          <w:sz w:val="24"/>
          <w:szCs w:val="24"/>
        </w:rPr>
      </w:pPr>
      <w:r w:rsidRPr="006A2F58">
        <w:rPr>
          <w:rFonts w:ascii="Times New Roman" w:hAnsi="Times New Roman" w:cs="Times New Roman"/>
          <w:sz w:val="24"/>
          <w:szCs w:val="24"/>
          <w:lang w:eastAsia="en-US"/>
        </w:rPr>
        <w:t xml:space="preserve">2. Адреса </w:t>
      </w:r>
      <w:r>
        <w:rPr>
          <w:rFonts w:ascii="Times New Roman" w:hAnsi="Times New Roman" w:cs="Times New Roman"/>
          <w:sz w:val="24"/>
          <w:szCs w:val="24"/>
          <w:lang w:eastAsia="en-US"/>
        </w:rPr>
        <w:t>Замовника</w:t>
      </w:r>
      <w:r w:rsidRPr="006A2F58">
        <w:rPr>
          <w:rFonts w:ascii="Times New Roman" w:hAnsi="Times New Roman" w:cs="Times New Roman"/>
          <w:sz w:val="24"/>
          <w:szCs w:val="24"/>
          <w:lang w:eastAsia="en-US"/>
        </w:rPr>
        <w:t xml:space="preserve">: </w:t>
      </w:r>
      <w:r w:rsidRPr="006A2F58">
        <w:rPr>
          <w:rFonts w:ascii="Times New Roman" w:hAnsi="Times New Roman" w:cs="Times New Roman"/>
          <w:sz w:val="24"/>
          <w:szCs w:val="24"/>
        </w:rPr>
        <w:t xml:space="preserve">Управління освіти, культури, молоді, туризму та спорту </w:t>
      </w:r>
      <w:proofErr w:type="spellStart"/>
      <w:r w:rsidRPr="006A2F58">
        <w:rPr>
          <w:rFonts w:ascii="Times New Roman" w:hAnsi="Times New Roman" w:cs="Times New Roman"/>
          <w:sz w:val="24"/>
          <w:szCs w:val="24"/>
        </w:rPr>
        <w:t>Бериславської</w:t>
      </w:r>
      <w:proofErr w:type="spellEnd"/>
      <w:r w:rsidRPr="006A2F58">
        <w:rPr>
          <w:rFonts w:ascii="Times New Roman" w:hAnsi="Times New Roman" w:cs="Times New Roman"/>
          <w:sz w:val="24"/>
          <w:szCs w:val="24"/>
        </w:rPr>
        <w:t xml:space="preserve"> міської ради,</w:t>
      </w:r>
      <w:r>
        <w:rPr>
          <w:rFonts w:ascii="Times New Roman" w:hAnsi="Times New Roman" w:cs="Times New Roman"/>
          <w:sz w:val="24"/>
          <w:szCs w:val="24"/>
        </w:rPr>
        <w:t xml:space="preserve"> </w:t>
      </w:r>
      <w:r w:rsidRPr="006A2F58">
        <w:rPr>
          <w:rFonts w:ascii="Times New Roman" w:hAnsi="Times New Roman" w:cs="Times New Roman"/>
          <w:sz w:val="24"/>
          <w:szCs w:val="24"/>
        </w:rPr>
        <w:t xml:space="preserve">74300, вул. 1 Травня, 244, м. </w:t>
      </w:r>
      <w:proofErr w:type="spellStart"/>
      <w:r w:rsidRPr="006A2F58">
        <w:rPr>
          <w:rFonts w:ascii="Times New Roman" w:hAnsi="Times New Roman" w:cs="Times New Roman"/>
          <w:sz w:val="24"/>
          <w:szCs w:val="24"/>
        </w:rPr>
        <w:t>Берислав</w:t>
      </w:r>
      <w:proofErr w:type="spellEnd"/>
      <w:r w:rsidRPr="006A2F58">
        <w:rPr>
          <w:rFonts w:ascii="Times New Roman" w:hAnsi="Times New Roman" w:cs="Times New Roman"/>
          <w:sz w:val="24"/>
          <w:szCs w:val="24"/>
        </w:rPr>
        <w:t xml:space="preserve">, </w:t>
      </w:r>
      <w:proofErr w:type="spellStart"/>
      <w:r w:rsidRPr="006A2F58">
        <w:rPr>
          <w:rFonts w:ascii="Times New Roman" w:hAnsi="Times New Roman" w:cs="Times New Roman"/>
          <w:sz w:val="24"/>
          <w:szCs w:val="24"/>
        </w:rPr>
        <w:t>Бериславський</w:t>
      </w:r>
      <w:proofErr w:type="spellEnd"/>
      <w:r w:rsidRPr="006A2F58">
        <w:rPr>
          <w:rFonts w:ascii="Times New Roman" w:hAnsi="Times New Roman" w:cs="Times New Roman"/>
          <w:sz w:val="24"/>
          <w:szCs w:val="24"/>
        </w:rPr>
        <w:t xml:space="preserve"> район, Херсонська область.</w:t>
      </w:r>
    </w:p>
    <w:p w:rsidR="006C2AFC" w:rsidRDefault="006C2AFC" w:rsidP="006C2AFC">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51706">
        <w:rPr>
          <w:rFonts w:ascii="Times New Roman" w:hAnsi="Times New Roman" w:cs="Times New Roman"/>
          <w:color w:val="000000"/>
          <w:sz w:val="24"/>
          <w:szCs w:val="24"/>
        </w:rPr>
        <w:t xml:space="preserve">. Термін постачання: з моменту </w:t>
      </w:r>
      <w:r w:rsidR="0002517B">
        <w:rPr>
          <w:rFonts w:ascii="Times New Roman" w:hAnsi="Times New Roman" w:cs="Times New Roman"/>
          <w:color w:val="000000"/>
          <w:sz w:val="24"/>
          <w:szCs w:val="24"/>
        </w:rPr>
        <w:t>укладання договору по 31.12.2023</w:t>
      </w:r>
      <w:r w:rsidRPr="00151706">
        <w:rPr>
          <w:rFonts w:ascii="Times New Roman" w:hAnsi="Times New Roman" w:cs="Times New Roman"/>
          <w:color w:val="000000"/>
          <w:sz w:val="24"/>
          <w:szCs w:val="24"/>
        </w:rPr>
        <w:t>;</w:t>
      </w:r>
    </w:p>
    <w:p w:rsidR="006C2AFC" w:rsidRDefault="006C2AFC" w:rsidP="006C2AFC">
      <w:pPr>
        <w:jc w:val="both"/>
      </w:pPr>
      <w:r w:rsidRPr="006A2F58">
        <w:rPr>
          <w:rFonts w:ascii="Times New Roman" w:hAnsi="Times New Roman" w:cs="Times New Roman"/>
          <w:color w:val="000000"/>
          <w:sz w:val="24"/>
          <w:szCs w:val="24"/>
        </w:rPr>
        <w:t xml:space="preserve">4. Години постачання: цілодобово (24 </w:t>
      </w:r>
      <w:proofErr w:type="spellStart"/>
      <w:r w:rsidRPr="006A2F58">
        <w:rPr>
          <w:rFonts w:ascii="Times New Roman" w:hAnsi="Times New Roman" w:cs="Times New Roman"/>
          <w:color w:val="000000"/>
          <w:sz w:val="24"/>
          <w:szCs w:val="24"/>
        </w:rPr>
        <w:t>год</w:t>
      </w:r>
      <w:proofErr w:type="spellEnd"/>
      <w:r w:rsidRPr="006A2F58">
        <w:rPr>
          <w:rFonts w:ascii="Times New Roman" w:hAnsi="Times New Roman" w:cs="Times New Roman"/>
          <w:color w:val="000000"/>
          <w:sz w:val="24"/>
          <w:szCs w:val="24"/>
        </w:rPr>
        <w:t xml:space="preserve">/7 </w:t>
      </w:r>
      <w:proofErr w:type="spellStart"/>
      <w:r w:rsidRPr="006A2F58">
        <w:rPr>
          <w:rFonts w:ascii="Times New Roman" w:hAnsi="Times New Roman" w:cs="Times New Roman"/>
          <w:color w:val="000000"/>
          <w:sz w:val="24"/>
          <w:szCs w:val="24"/>
        </w:rPr>
        <w:t>доб</w:t>
      </w:r>
      <w:proofErr w:type="spellEnd"/>
      <w:r w:rsidRPr="006A2F58">
        <w:rPr>
          <w:rFonts w:ascii="Times New Roman" w:hAnsi="Times New Roman" w:cs="Times New Roman"/>
          <w:color w:val="000000"/>
          <w:sz w:val="24"/>
          <w:szCs w:val="24"/>
        </w:rPr>
        <w:t>.)</w:t>
      </w:r>
      <w:r w:rsidRPr="005F6F81">
        <w:t xml:space="preserve"> </w:t>
      </w:r>
    </w:p>
    <w:p w:rsidR="006C2AFC" w:rsidRPr="006A2F58" w:rsidRDefault="006C2AFC" w:rsidP="006C2AFC">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F6F81">
        <w:rPr>
          <w:rFonts w:ascii="Times New Roman" w:hAnsi="Times New Roman" w:cs="Times New Roman"/>
          <w:color w:val="000000"/>
          <w:sz w:val="24"/>
          <w:szCs w:val="24"/>
        </w:rPr>
        <w:t xml:space="preserve">. Місце постачання:  74300, Херсонська обл., місто </w:t>
      </w:r>
      <w:proofErr w:type="spellStart"/>
      <w:r w:rsidRPr="005F6F81">
        <w:rPr>
          <w:rFonts w:ascii="Times New Roman" w:hAnsi="Times New Roman" w:cs="Times New Roman"/>
          <w:color w:val="000000"/>
          <w:sz w:val="24"/>
          <w:szCs w:val="24"/>
        </w:rPr>
        <w:t>Берислав</w:t>
      </w:r>
      <w:proofErr w:type="spellEnd"/>
      <w:r w:rsidRPr="005F6F81">
        <w:rPr>
          <w:rFonts w:ascii="Times New Roman" w:hAnsi="Times New Roman" w:cs="Times New Roman"/>
          <w:color w:val="000000"/>
          <w:sz w:val="24"/>
          <w:szCs w:val="24"/>
        </w:rPr>
        <w:t>, межа балансової належності електроустановок замовника між оператором системи розподілу та споживачем згідно переліку та місць встановлення.</w:t>
      </w:r>
    </w:p>
    <w:p w:rsidR="006C2AFC" w:rsidRPr="004E6528" w:rsidRDefault="006C2AFC" w:rsidP="006C2AFC">
      <w:pPr>
        <w:tabs>
          <w:tab w:val="left" w:pos="993"/>
          <w:tab w:val="left" w:pos="1560"/>
        </w:tabs>
        <w:jc w:val="both"/>
        <w:rPr>
          <w:rFonts w:ascii="Times New Roman" w:hAnsi="Times New Roman" w:cs="Times New Roman"/>
          <w:iCs/>
          <w:color w:val="000000"/>
          <w:sz w:val="24"/>
          <w:szCs w:val="24"/>
          <w:shd w:val="clear" w:color="auto" w:fill="FFFFFF"/>
          <w:lang w:bidi="uk-UA"/>
        </w:rPr>
      </w:pPr>
      <w:r>
        <w:rPr>
          <w:rFonts w:ascii="Times New Roman" w:hAnsi="Times New Roman" w:cs="Times New Roman"/>
          <w:sz w:val="24"/>
          <w:szCs w:val="24"/>
        </w:rPr>
        <w:t>6</w:t>
      </w:r>
      <w:r w:rsidRPr="00764AFC">
        <w:rPr>
          <w:rFonts w:ascii="Times New Roman" w:hAnsi="Times New Roman" w:cs="Times New Roman"/>
          <w:sz w:val="24"/>
          <w:szCs w:val="24"/>
        </w:rPr>
        <w:t xml:space="preserve">. Оплата вартості електричної енергії  та терміни: </w:t>
      </w:r>
      <w:r>
        <w:rPr>
          <w:rFonts w:ascii="Times New Roman" w:hAnsi="Times New Roman" w:cs="Times New Roman"/>
          <w:sz w:val="24"/>
          <w:szCs w:val="24"/>
        </w:rPr>
        <w:t xml:space="preserve">100%  </w:t>
      </w:r>
      <w:proofErr w:type="spellStart"/>
      <w:r>
        <w:rPr>
          <w:rFonts w:ascii="Times New Roman" w:hAnsi="Times New Roman" w:cs="Times New Roman"/>
          <w:sz w:val="24"/>
          <w:szCs w:val="24"/>
        </w:rPr>
        <w:t>після</w:t>
      </w:r>
      <w:r w:rsidRPr="004E6528">
        <w:rPr>
          <w:rFonts w:ascii="Times New Roman" w:hAnsi="Times New Roman" w:cs="Times New Roman"/>
          <w:sz w:val="24"/>
          <w:szCs w:val="24"/>
        </w:rPr>
        <w:t>оплата</w:t>
      </w:r>
      <w:proofErr w:type="spellEnd"/>
      <w:r w:rsidRPr="004E6528">
        <w:rPr>
          <w:rFonts w:ascii="Times New Roman" w:hAnsi="Times New Roman" w:cs="Times New Roman"/>
          <w:sz w:val="24"/>
          <w:szCs w:val="24"/>
        </w:rPr>
        <w:t>, оплата рахунка Постачальника має бути здійснена Споживачем за фактично спожиту у розрахунковому періоді електричну енергію згідно з даними приладів комерційного обліку у строк не пізніше 10-го числа місяця, наступного за розрахунковим.</w:t>
      </w:r>
      <w:r>
        <w:rPr>
          <w:rFonts w:ascii="Times New Roman" w:hAnsi="Times New Roman" w:cs="Times New Roman"/>
          <w:sz w:val="24"/>
          <w:szCs w:val="24"/>
        </w:rPr>
        <w:t xml:space="preserve"> </w:t>
      </w:r>
      <w:r w:rsidRPr="004E6528">
        <w:rPr>
          <w:rFonts w:ascii="Times New Roman" w:hAnsi="Times New Roman" w:cs="Times New Roman"/>
          <w:sz w:val="24"/>
          <w:szCs w:val="24"/>
          <w:lang w:eastAsia="ru-RU"/>
        </w:rPr>
        <w:t xml:space="preserve">Послуги </w:t>
      </w:r>
      <w:r w:rsidRPr="004E6528">
        <w:rPr>
          <w:rFonts w:ascii="Times New Roman" w:hAnsi="Times New Roman" w:cs="Times New Roman"/>
          <w:sz w:val="24"/>
          <w:szCs w:val="24"/>
        </w:rPr>
        <w:t xml:space="preserve">з розподілу електричної енергії сплачуються Споживачем/Замовником самостійно безпосередньо  </w:t>
      </w:r>
      <w:r w:rsidRPr="004E6528">
        <w:rPr>
          <w:rFonts w:ascii="Times New Roman" w:hAnsi="Times New Roman" w:cs="Times New Roman"/>
          <w:iCs/>
          <w:color w:val="000000"/>
          <w:sz w:val="24"/>
          <w:szCs w:val="24"/>
          <w:shd w:val="clear" w:color="auto" w:fill="FFFFFF"/>
          <w:lang w:bidi="uk-UA"/>
        </w:rPr>
        <w:t>оператору системи розподілу відповідно до договору про надання послуг з розподілу, укладеним між оператором системи розподілу та Споживачем. Приймання</w:t>
      </w:r>
      <w:r w:rsidRPr="004E6528">
        <w:rPr>
          <w:rFonts w:ascii="Times New Roman" w:hAnsi="Times New Roman" w:cs="Times New Roman"/>
          <w:iCs/>
          <w:color w:val="000000"/>
          <w:sz w:val="24"/>
          <w:szCs w:val="24"/>
          <w:shd w:val="clear" w:color="auto" w:fill="FFFFFF"/>
          <w:lang w:val="ru-RU" w:bidi="uk-UA"/>
        </w:rPr>
        <w:t> </w:t>
      </w:r>
      <w:r w:rsidRPr="004E6528">
        <w:rPr>
          <w:rFonts w:ascii="Times New Roman" w:hAnsi="Times New Roman" w:cs="Times New Roman"/>
          <w:iCs/>
          <w:color w:val="000000"/>
          <w:sz w:val="24"/>
          <w:szCs w:val="24"/>
          <w:shd w:val="clear" w:color="auto" w:fill="FFFFFF"/>
          <w:lang w:bidi="uk-UA"/>
        </w:rPr>
        <w:t>–</w:t>
      </w:r>
      <w:r w:rsidRPr="004E6528">
        <w:rPr>
          <w:rFonts w:ascii="Times New Roman" w:hAnsi="Times New Roman" w:cs="Times New Roman"/>
          <w:iCs/>
          <w:color w:val="000000"/>
          <w:sz w:val="24"/>
          <w:szCs w:val="24"/>
          <w:shd w:val="clear" w:color="auto" w:fill="FFFFFF"/>
          <w:lang w:val="ru-RU" w:bidi="uk-UA"/>
        </w:rPr>
        <w:t> </w:t>
      </w:r>
      <w:r w:rsidRPr="004E6528">
        <w:rPr>
          <w:rFonts w:ascii="Times New Roman" w:hAnsi="Times New Roman" w:cs="Times New Roman"/>
          <w:iCs/>
          <w:color w:val="000000"/>
          <w:sz w:val="24"/>
          <w:szCs w:val="24"/>
          <w:shd w:val="clear" w:color="auto" w:fill="FFFFFF"/>
          <w:lang w:bidi="uk-UA"/>
        </w:rPr>
        <w:t xml:space="preserve">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4E6528">
        <w:rPr>
          <w:rFonts w:ascii="Times New Roman" w:hAnsi="Times New Roman" w:cs="Times New Roman"/>
          <w:i/>
          <w:iCs/>
          <w:color w:val="000000"/>
          <w:sz w:val="24"/>
          <w:szCs w:val="24"/>
          <w:shd w:val="clear" w:color="auto" w:fill="FFFFFF"/>
          <w:lang w:bidi="uk-UA"/>
        </w:rPr>
        <w:t>актів приймання-передачі електричної енергії</w:t>
      </w:r>
      <w:r w:rsidRPr="004E6528">
        <w:rPr>
          <w:rFonts w:ascii="Times New Roman" w:hAnsi="Times New Roman" w:cs="Times New Roman"/>
          <w:iCs/>
          <w:color w:val="000000"/>
          <w:sz w:val="24"/>
          <w:szCs w:val="24"/>
          <w:shd w:val="clear" w:color="auto" w:fill="FFFFFF"/>
          <w:lang w:bidi="uk-UA"/>
        </w:rPr>
        <w:t>.</w:t>
      </w:r>
    </w:p>
    <w:p w:rsidR="006C2AFC" w:rsidRPr="00720F45" w:rsidRDefault="006C2AFC" w:rsidP="006C2AFC">
      <w:pPr>
        <w:pStyle w:val="af7"/>
        <w:spacing w:after="0" w:line="240" w:lineRule="auto"/>
        <w:ind w:left="1287"/>
        <w:jc w:val="both"/>
        <w:rPr>
          <w:rFonts w:ascii="Times New Roman" w:hAnsi="Times New Roman"/>
          <w:szCs w:val="24"/>
        </w:rPr>
      </w:pPr>
    </w:p>
    <w:p w:rsidR="006C2AFC" w:rsidRPr="00605C79" w:rsidRDefault="006C2AFC" w:rsidP="006C2AFC">
      <w:pPr>
        <w:tabs>
          <w:tab w:val="left" w:pos="3686"/>
        </w:tabs>
        <w:spacing w:after="120"/>
        <w:jc w:val="both"/>
        <w:rPr>
          <w:rFonts w:ascii="Times New Roman" w:hAnsi="Times New Roman"/>
          <w:sz w:val="24"/>
          <w:szCs w:val="24"/>
        </w:rPr>
      </w:pPr>
      <w:r w:rsidRPr="00605C79">
        <w:rPr>
          <w:rFonts w:ascii="Times New Roman" w:hAnsi="Times New Roman"/>
          <w:sz w:val="24"/>
          <w:szCs w:val="24"/>
          <w:lang w:eastAsia="ar-SA"/>
        </w:rPr>
        <w:t xml:space="preserve">Відносини між постачальниками та споживачами електричної енергії регулюються наступними документами: </w:t>
      </w:r>
    </w:p>
    <w:p w:rsidR="006C2AFC" w:rsidRPr="00605C79" w:rsidRDefault="006C2AFC" w:rsidP="006C2AFC">
      <w:pPr>
        <w:pStyle w:val="af7"/>
        <w:numPr>
          <w:ilvl w:val="0"/>
          <w:numId w:val="9"/>
        </w:numPr>
        <w:suppressAutoHyphens/>
        <w:spacing w:after="120" w:line="240" w:lineRule="auto"/>
        <w:jc w:val="both"/>
        <w:rPr>
          <w:rFonts w:ascii="Times New Roman" w:hAnsi="Times New Roman"/>
          <w:sz w:val="24"/>
          <w:szCs w:val="24"/>
          <w:lang w:eastAsia="ar-SA"/>
        </w:rPr>
      </w:pPr>
      <w:r w:rsidRPr="00605C79">
        <w:rPr>
          <w:rFonts w:ascii="Times New Roman" w:hAnsi="Times New Roman"/>
          <w:sz w:val="24"/>
          <w:szCs w:val="24"/>
          <w:lang w:eastAsia="ar-SA"/>
        </w:rPr>
        <w:t xml:space="preserve">Закон України «Про публічні закупівлі» від 19.04.2020 № 922; </w:t>
      </w:r>
    </w:p>
    <w:p w:rsidR="006C2AFC" w:rsidRPr="00605C79" w:rsidRDefault="006C2AFC" w:rsidP="006C2AFC">
      <w:pPr>
        <w:pStyle w:val="af7"/>
        <w:numPr>
          <w:ilvl w:val="0"/>
          <w:numId w:val="9"/>
        </w:numPr>
        <w:suppressAutoHyphens/>
        <w:spacing w:after="120" w:line="240" w:lineRule="auto"/>
        <w:jc w:val="both"/>
        <w:rPr>
          <w:rFonts w:ascii="Times New Roman" w:hAnsi="Times New Roman"/>
          <w:sz w:val="24"/>
          <w:szCs w:val="24"/>
          <w:lang w:eastAsia="ar-SA"/>
        </w:rPr>
      </w:pPr>
      <w:r w:rsidRPr="00605C79">
        <w:rPr>
          <w:rFonts w:ascii="Times New Roman" w:hAnsi="Times New Roman"/>
          <w:sz w:val="24"/>
          <w:szCs w:val="24"/>
          <w:lang w:eastAsia="ar-SA"/>
        </w:rPr>
        <w:t>Закон України «Про ринок електричної енергії» від 13.04.2017 №2019-VIII;</w:t>
      </w:r>
    </w:p>
    <w:p w:rsidR="006C2AFC" w:rsidRPr="00605C79" w:rsidRDefault="006C2AFC" w:rsidP="006C2AFC">
      <w:pPr>
        <w:pStyle w:val="af7"/>
        <w:numPr>
          <w:ilvl w:val="0"/>
          <w:numId w:val="9"/>
        </w:numPr>
        <w:suppressAutoHyphens/>
        <w:spacing w:after="120" w:line="240" w:lineRule="auto"/>
        <w:jc w:val="both"/>
        <w:rPr>
          <w:rFonts w:ascii="Times New Roman" w:hAnsi="Times New Roman"/>
          <w:sz w:val="24"/>
          <w:szCs w:val="24"/>
        </w:rPr>
      </w:pPr>
      <w:r w:rsidRPr="00605C79">
        <w:rPr>
          <w:rFonts w:ascii="Times New Roman" w:hAnsi="Times New Roman"/>
          <w:sz w:val="24"/>
          <w:szCs w:val="24"/>
          <w:lang w:eastAsia="ar-SA"/>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p>
    <w:p w:rsidR="006C2AFC" w:rsidRPr="00605C79" w:rsidRDefault="006C2AFC" w:rsidP="006C2AFC">
      <w:pPr>
        <w:pStyle w:val="af7"/>
        <w:numPr>
          <w:ilvl w:val="0"/>
          <w:numId w:val="9"/>
        </w:numPr>
        <w:suppressAutoHyphens/>
        <w:spacing w:after="120" w:line="240" w:lineRule="auto"/>
        <w:jc w:val="both"/>
        <w:rPr>
          <w:rFonts w:ascii="Times New Roman" w:hAnsi="Times New Roman"/>
          <w:sz w:val="24"/>
          <w:szCs w:val="24"/>
        </w:rPr>
      </w:pPr>
      <w:r w:rsidRPr="00605C79">
        <w:rPr>
          <w:rFonts w:ascii="Times New Roman" w:hAnsi="Times New Roman"/>
          <w:sz w:val="24"/>
          <w:szCs w:val="24"/>
        </w:rPr>
        <w:t>Постанова Національної комісії, що здійснює державне регулювання у сферах енергетики та комунальних послуг  від 14.03.2018 № 310 «Про затвердження Кодексу систем розподілу»;</w:t>
      </w:r>
    </w:p>
    <w:p w:rsidR="006C2AFC" w:rsidRPr="00605C79" w:rsidRDefault="006C2AFC" w:rsidP="006C2AFC">
      <w:pPr>
        <w:pStyle w:val="af7"/>
        <w:numPr>
          <w:ilvl w:val="0"/>
          <w:numId w:val="9"/>
        </w:numPr>
        <w:tabs>
          <w:tab w:val="left" w:pos="4410"/>
        </w:tabs>
        <w:suppressAutoHyphens/>
        <w:spacing w:after="120" w:line="240" w:lineRule="auto"/>
        <w:jc w:val="both"/>
        <w:rPr>
          <w:rFonts w:ascii="Times New Roman" w:eastAsia="Times New Roman" w:hAnsi="Times New Roman"/>
          <w:sz w:val="24"/>
          <w:szCs w:val="24"/>
          <w:lang w:eastAsia="ru-RU"/>
        </w:rPr>
      </w:pPr>
      <w:r w:rsidRPr="00605C79">
        <w:rPr>
          <w:rFonts w:ascii="Times New Roman" w:hAnsi="Times New Roman"/>
          <w:sz w:val="24"/>
          <w:szCs w:val="24"/>
        </w:rPr>
        <w:lastRenderedPageBreak/>
        <w:t>Постанова Національної комісії, що здійснює державне регулювання у сферах енергетики та комунальних послуг  від 14.03.2018 № 309 «Про затвердження Кодексу системи передачі»;</w:t>
      </w:r>
    </w:p>
    <w:p w:rsidR="006C2AFC" w:rsidRPr="00605C79" w:rsidRDefault="006C2AFC" w:rsidP="006C2AFC">
      <w:pPr>
        <w:pStyle w:val="af7"/>
        <w:numPr>
          <w:ilvl w:val="0"/>
          <w:numId w:val="9"/>
        </w:numPr>
        <w:tabs>
          <w:tab w:val="left" w:pos="4410"/>
        </w:tabs>
        <w:suppressAutoHyphens/>
        <w:spacing w:after="120" w:line="240" w:lineRule="auto"/>
        <w:jc w:val="both"/>
        <w:rPr>
          <w:rFonts w:ascii="Times New Roman" w:eastAsia="Times New Roman" w:hAnsi="Times New Roman"/>
          <w:sz w:val="24"/>
          <w:szCs w:val="24"/>
          <w:lang w:eastAsia="ru-RU"/>
        </w:rPr>
      </w:pPr>
      <w:r w:rsidRPr="00605C79">
        <w:rPr>
          <w:rFonts w:ascii="Times New Roman" w:hAnsi="Times New Roman"/>
          <w:sz w:val="24"/>
          <w:szCs w:val="24"/>
          <w:lang w:eastAsia="ar-SA"/>
        </w:rPr>
        <w:t xml:space="preserve">Іншими нормативно-правовими актами, </w:t>
      </w:r>
      <w:r w:rsidRPr="00605C79">
        <w:rPr>
          <w:rFonts w:ascii="Times New Roman" w:eastAsia="Times New Roman" w:hAnsi="Times New Roman"/>
          <w:sz w:val="24"/>
          <w:szCs w:val="24"/>
          <w:lang w:eastAsia="ru-RU"/>
        </w:rPr>
        <w:t>прийнятими на виконання Закону України «Про ринок електричної енергії».</w:t>
      </w:r>
    </w:p>
    <w:p w:rsidR="006C2AFC" w:rsidRPr="00605C79" w:rsidRDefault="006C2AFC" w:rsidP="006C2AFC">
      <w:pPr>
        <w:spacing w:after="120"/>
        <w:ind w:firstLine="567"/>
        <w:jc w:val="both"/>
        <w:rPr>
          <w:rFonts w:ascii="Times New Roman" w:hAnsi="Times New Roman"/>
          <w:b/>
          <w:sz w:val="24"/>
          <w:szCs w:val="24"/>
          <w:lang w:eastAsia="ar-SA"/>
        </w:rPr>
      </w:pPr>
      <w:r w:rsidRPr="00605C79">
        <w:rPr>
          <w:rFonts w:ascii="Times New Roman" w:hAnsi="Times New Roman"/>
          <w:b/>
          <w:sz w:val="24"/>
          <w:szCs w:val="24"/>
          <w:lang w:eastAsia="ar-SA"/>
        </w:rPr>
        <w:t>Технічні та якісні характеристики:</w:t>
      </w:r>
    </w:p>
    <w:p w:rsidR="006C2AFC" w:rsidRPr="00605C79" w:rsidRDefault="006C2AFC" w:rsidP="006C2AFC">
      <w:pPr>
        <w:ind w:firstLine="567"/>
        <w:jc w:val="both"/>
        <w:textAlignment w:val="baseline"/>
        <w:rPr>
          <w:rFonts w:ascii="Times New Roman" w:eastAsia="Times New Roman" w:hAnsi="Times New Roman"/>
          <w:sz w:val="24"/>
          <w:szCs w:val="24"/>
          <w:lang w:eastAsia="ru-RU"/>
        </w:rPr>
      </w:pPr>
      <w:r w:rsidRPr="00605C79">
        <w:rPr>
          <w:rFonts w:ascii="Times New Roman" w:eastAsia="Times New Roman" w:hAnsi="Times New Roman"/>
          <w:sz w:val="24"/>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w:t>
      </w:r>
      <w:r w:rsidRPr="00605C79">
        <w:rPr>
          <w:rFonts w:ascii="Times New Roman" w:eastAsia="Times New Roman" w:hAnsi="Times New Roman"/>
          <w:color w:val="000000"/>
          <w:sz w:val="24"/>
          <w:szCs w:val="24"/>
          <w:shd w:val="clear" w:color="auto" w:fill="FFFFFF"/>
          <w:lang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605C79">
        <w:rPr>
          <w:rFonts w:ascii="Times New Roman" w:eastAsia="Times New Roman" w:hAnsi="Times New Roman"/>
          <w:sz w:val="24"/>
          <w:szCs w:val="24"/>
          <w:lang w:eastAsia="ru-RU"/>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605C79">
        <w:rPr>
          <w:rFonts w:ascii="Times New Roman" w:eastAsia="Times New Roman" w:hAnsi="Times New Roman"/>
          <w:sz w:val="24"/>
          <w:szCs w:val="24"/>
          <w:lang w:eastAsia="ru-RU"/>
        </w:rPr>
        <w:t>електропостачальника</w:t>
      </w:r>
      <w:proofErr w:type="spellEnd"/>
      <w:r w:rsidRPr="00605C79">
        <w:rPr>
          <w:rFonts w:ascii="Times New Roman" w:eastAsia="Times New Roman" w:hAnsi="Times New Roman"/>
          <w:sz w:val="24"/>
          <w:szCs w:val="24"/>
          <w:lang w:eastAsia="ru-RU"/>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rsidR="006C2AFC" w:rsidRPr="00605C79" w:rsidRDefault="006C2AFC" w:rsidP="006C2AFC">
      <w:pPr>
        <w:tabs>
          <w:tab w:val="left" w:pos="7170"/>
        </w:tabs>
        <w:rPr>
          <w:sz w:val="24"/>
          <w:szCs w:val="24"/>
        </w:rPr>
      </w:pPr>
    </w:p>
    <w:p w:rsidR="006C2AFC" w:rsidRPr="00DC5C0A" w:rsidRDefault="006C2AFC" w:rsidP="006C2AFC">
      <w:pPr>
        <w:tabs>
          <w:tab w:val="left" w:pos="7170"/>
        </w:tabs>
        <w:rPr>
          <w:sz w:val="24"/>
          <w:szCs w:val="24"/>
        </w:rPr>
      </w:pPr>
    </w:p>
    <w:p w:rsidR="006C2AFC" w:rsidRPr="00DC5C0A" w:rsidRDefault="006C2AFC" w:rsidP="006C2AFC">
      <w:pPr>
        <w:spacing w:after="120"/>
        <w:jc w:val="both"/>
        <w:rPr>
          <w:rFonts w:ascii="Times New Roman" w:hAnsi="Times New Roman"/>
          <w:sz w:val="24"/>
          <w:szCs w:val="24"/>
        </w:rPr>
      </w:pPr>
      <w:r w:rsidRPr="00DC5C0A">
        <w:rPr>
          <w:rFonts w:ascii="Times New Roman" w:hAnsi="Times New Roman" w:cs="Times New Roman"/>
          <w:b/>
          <w:i/>
          <w:sz w:val="24"/>
          <w:szCs w:val="24"/>
        </w:rPr>
        <w:t xml:space="preserve">Посада, прізвище, ініціали, підпис уповноваженої особи Учасника, завірені печаткою </w:t>
      </w:r>
      <w:r w:rsidRPr="00DC5C0A">
        <w:rPr>
          <w:rFonts w:ascii="Times New Roman" w:hAnsi="Times New Roman" w:cs="Times New Roman"/>
          <w:i/>
          <w:sz w:val="24"/>
          <w:szCs w:val="24"/>
        </w:rPr>
        <w:t xml:space="preserve">(за наявності). </w:t>
      </w:r>
      <w:r w:rsidRPr="00DC5C0A">
        <w:rPr>
          <w:rFonts w:ascii="Times New Roman" w:hAnsi="Times New Roman" w:cs="Times New Roman"/>
          <w:b/>
          <w:sz w:val="24"/>
          <w:szCs w:val="24"/>
        </w:rPr>
        <w:t>____________________________________________</w:t>
      </w:r>
    </w:p>
    <w:p w:rsidR="006C2AFC" w:rsidRPr="00720F45" w:rsidRDefault="006C2AFC" w:rsidP="006C2AFC">
      <w:pPr>
        <w:rPr>
          <w:rFonts w:ascii="Times New Roman" w:hAnsi="Times New Roman" w:cs="Times New Roman"/>
          <w:sz w:val="28"/>
          <w:szCs w:val="28"/>
        </w:rPr>
      </w:pPr>
    </w:p>
    <w:p w:rsidR="002076A8" w:rsidRDefault="002076A8" w:rsidP="006C2AFC">
      <w:pPr>
        <w:spacing w:before="240" w:after="0" w:line="240" w:lineRule="auto"/>
        <w:jc w:val="center"/>
        <w:rPr>
          <w:rFonts w:ascii="Times New Roman" w:eastAsia="Times New Roman" w:hAnsi="Times New Roman" w:cs="Times New Roman"/>
          <w:sz w:val="20"/>
          <w:szCs w:val="20"/>
        </w:rPr>
      </w:pPr>
    </w:p>
    <w:sectPr w:rsidR="002076A8" w:rsidSect="00514DAC">
      <w:pgSz w:w="11906" w:h="16838"/>
      <w:pgMar w:top="426"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DF" w:rsidRDefault="00C80BDF" w:rsidP="00177333">
      <w:pPr>
        <w:spacing w:after="0" w:line="240" w:lineRule="auto"/>
      </w:pPr>
      <w:r>
        <w:separator/>
      </w:r>
    </w:p>
  </w:endnote>
  <w:endnote w:type="continuationSeparator" w:id="0">
    <w:p w:rsidR="00C80BDF" w:rsidRDefault="00C80BDF" w:rsidP="00177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DF" w:rsidRDefault="00C80BDF" w:rsidP="00177333">
      <w:pPr>
        <w:spacing w:after="0" w:line="240" w:lineRule="auto"/>
      </w:pPr>
      <w:r>
        <w:separator/>
      </w:r>
    </w:p>
  </w:footnote>
  <w:footnote w:type="continuationSeparator" w:id="0">
    <w:p w:rsidR="00C80BDF" w:rsidRDefault="00C80BDF" w:rsidP="00177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2425475B"/>
    <w:multiLevelType w:val="multilevel"/>
    <w:tmpl w:val="51A0D586"/>
    <w:lvl w:ilvl="0">
      <w:start w:val="1"/>
      <w:numFmt w:val="decimal"/>
      <w:lvlText w:val="%1."/>
      <w:lvlJc w:val="left"/>
      <w:pPr>
        <w:ind w:left="360" w:hanging="360"/>
      </w:pPr>
      <w:rPr>
        <w:rFonts w:ascii="Times New Roman" w:hAnsi="Times New Roman" w:cs="Times New Roman"/>
        <w:sz w:val="26"/>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5">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8"/>
  </w:num>
  <w:num w:numId="3">
    <w:abstractNumId w:val="7"/>
  </w:num>
  <w:num w:numId="4">
    <w:abstractNumId w:val="2"/>
  </w:num>
  <w:num w:numId="5">
    <w:abstractNumId w:val="4"/>
  </w:num>
  <w:num w:numId="6">
    <w:abstractNumId w:val="0"/>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17410"/>
  </w:hdrShapeDefaults>
  <w:footnotePr>
    <w:footnote w:id="-1"/>
    <w:footnote w:id="0"/>
  </w:footnotePr>
  <w:endnotePr>
    <w:endnote w:id="-1"/>
    <w:endnote w:id="0"/>
  </w:endnotePr>
  <w:compat/>
  <w:rsids>
    <w:rsidRoot w:val="00121134"/>
    <w:rsid w:val="0002517B"/>
    <w:rsid w:val="00027BA5"/>
    <w:rsid w:val="000317E9"/>
    <w:rsid w:val="00040916"/>
    <w:rsid w:val="00066708"/>
    <w:rsid w:val="00071AD8"/>
    <w:rsid w:val="00077C78"/>
    <w:rsid w:val="00096E13"/>
    <w:rsid w:val="000979AB"/>
    <w:rsid w:val="000B1A38"/>
    <w:rsid w:val="000B3445"/>
    <w:rsid w:val="000D7D5C"/>
    <w:rsid w:val="000E2B25"/>
    <w:rsid w:val="000F3977"/>
    <w:rsid w:val="00111F2C"/>
    <w:rsid w:val="00113FD5"/>
    <w:rsid w:val="00121134"/>
    <w:rsid w:val="00132BEE"/>
    <w:rsid w:val="0013632B"/>
    <w:rsid w:val="0014436F"/>
    <w:rsid w:val="00165483"/>
    <w:rsid w:val="001673DD"/>
    <w:rsid w:val="0017661E"/>
    <w:rsid w:val="00177333"/>
    <w:rsid w:val="00193FE9"/>
    <w:rsid w:val="00196D4F"/>
    <w:rsid w:val="001C0F41"/>
    <w:rsid w:val="001C6A18"/>
    <w:rsid w:val="001D0C88"/>
    <w:rsid w:val="001D4797"/>
    <w:rsid w:val="002067A4"/>
    <w:rsid w:val="002076A8"/>
    <w:rsid w:val="00215A12"/>
    <w:rsid w:val="00216FE0"/>
    <w:rsid w:val="00220A5A"/>
    <w:rsid w:val="0024295C"/>
    <w:rsid w:val="002460A7"/>
    <w:rsid w:val="002477FD"/>
    <w:rsid w:val="00247D52"/>
    <w:rsid w:val="00257F80"/>
    <w:rsid w:val="00261E96"/>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1A78"/>
    <w:rsid w:val="00343353"/>
    <w:rsid w:val="0036354D"/>
    <w:rsid w:val="003727B1"/>
    <w:rsid w:val="003813AC"/>
    <w:rsid w:val="003826BB"/>
    <w:rsid w:val="00397A1D"/>
    <w:rsid w:val="003B227A"/>
    <w:rsid w:val="003B3959"/>
    <w:rsid w:val="003C28B7"/>
    <w:rsid w:val="003F209A"/>
    <w:rsid w:val="00405981"/>
    <w:rsid w:val="00420B45"/>
    <w:rsid w:val="004368A9"/>
    <w:rsid w:val="00446FC0"/>
    <w:rsid w:val="004A2AF1"/>
    <w:rsid w:val="004A2DD8"/>
    <w:rsid w:val="004C7ED7"/>
    <w:rsid w:val="004E239D"/>
    <w:rsid w:val="004E4EA5"/>
    <w:rsid w:val="00502D79"/>
    <w:rsid w:val="005041A9"/>
    <w:rsid w:val="00514DAC"/>
    <w:rsid w:val="00524473"/>
    <w:rsid w:val="00524B59"/>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C2AFC"/>
    <w:rsid w:val="006C2F83"/>
    <w:rsid w:val="006D67CA"/>
    <w:rsid w:val="006F378B"/>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873BE"/>
    <w:rsid w:val="008900C8"/>
    <w:rsid w:val="008B1214"/>
    <w:rsid w:val="008D4AC0"/>
    <w:rsid w:val="008F6232"/>
    <w:rsid w:val="008F7392"/>
    <w:rsid w:val="00906499"/>
    <w:rsid w:val="009204A1"/>
    <w:rsid w:val="00920BFF"/>
    <w:rsid w:val="00927A95"/>
    <w:rsid w:val="00931D7B"/>
    <w:rsid w:val="00936F8D"/>
    <w:rsid w:val="009500A0"/>
    <w:rsid w:val="00967815"/>
    <w:rsid w:val="00967ACE"/>
    <w:rsid w:val="00973DE9"/>
    <w:rsid w:val="009933A3"/>
    <w:rsid w:val="009A4EEE"/>
    <w:rsid w:val="009A7715"/>
    <w:rsid w:val="009B65D2"/>
    <w:rsid w:val="009C66D9"/>
    <w:rsid w:val="009D0627"/>
    <w:rsid w:val="009D4EE8"/>
    <w:rsid w:val="009D79AD"/>
    <w:rsid w:val="00A02584"/>
    <w:rsid w:val="00A05F80"/>
    <w:rsid w:val="00A2301D"/>
    <w:rsid w:val="00A3673A"/>
    <w:rsid w:val="00A51B64"/>
    <w:rsid w:val="00A62D48"/>
    <w:rsid w:val="00A65271"/>
    <w:rsid w:val="00A725B8"/>
    <w:rsid w:val="00A80313"/>
    <w:rsid w:val="00A81D07"/>
    <w:rsid w:val="00A912B9"/>
    <w:rsid w:val="00AB5C11"/>
    <w:rsid w:val="00AF25CF"/>
    <w:rsid w:val="00B06B1D"/>
    <w:rsid w:val="00B17A24"/>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67D87"/>
    <w:rsid w:val="00C7629F"/>
    <w:rsid w:val="00C80BDF"/>
    <w:rsid w:val="00C8729F"/>
    <w:rsid w:val="00C92185"/>
    <w:rsid w:val="00C95C23"/>
    <w:rsid w:val="00CC4199"/>
    <w:rsid w:val="00CD0964"/>
    <w:rsid w:val="00D10457"/>
    <w:rsid w:val="00D20A7F"/>
    <w:rsid w:val="00D3613C"/>
    <w:rsid w:val="00D4682D"/>
    <w:rsid w:val="00D65DBE"/>
    <w:rsid w:val="00D71E99"/>
    <w:rsid w:val="00D80CF5"/>
    <w:rsid w:val="00D874EA"/>
    <w:rsid w:val="00D90187"/>
    <w:rsid w:val="00DC672B"/>
    <w:rsid w:val="00DC7F5E"/>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64744"/>
    <w:rsid w:val="00F710A8"/>
    <w:rsid w:val="00F8359F"/>
    <w:rsid w:val="00F835B4"/>
    <w:rsid w:val="00FB108E"/>
    <w:rsid w:val="00FC3FA8"/>
    <w:rsid w:val="00FC6353"/>
    <w:rsid w:val="00FD53AB"/>
    <w:rsid w:val="00FD59AA"/>
    <w:rsid w:val="00FE1A33"/>
    <w:rsid w:val="00FE7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514DAC"/>
    <w:pPr>
      <w:keepNext/>
      <w:keepLines/>
      <w:spacing w:before="480" w:after="120"/>
      <w:outlineLvl w:val="0"/>
    </w:pPr>
    <w:rPr>
      <w:b/>
      <w:sz w:val="48"/>
      <w:szCs w:val="48"/>
    </w:rPr>
  </w:style>
  <w:style w:type="paragraph" w:styleId="2">
    <w:name w:val="heading 2"/>
    <w:basedOn w:val="a"/>
    <w:next w:val="a"/>
    <w:uiPriority w:val="9"/>
    <w:semiHidden/>
    <w:unhideWhenUsed/>
    <w:qFormat/>
    <w:rsid w:val="00514DAC"/>
    <w:pPr>
      <w:keepNext/>
      <w:keepLines/>
      <w:spacing w:before="360" w:after="80"/>
      <w:outlineLvl w:val="1"/>
    </w:pPr>
    <w:rPr>
      <w:b/>
      <w:sz w:val="36"/>
      <w:szCs w:val="36"/>
    </w:rPr>
  </w:style>
  <w:style w:type="paragraph" w:styleId="3">
    <w:name w:val="heading 3"/>
    <w:basedOn w:val="a"/>
    <w:next w:val="a"/>
    <w:uiPriority w:val="9"/>
    <w:unhideWhenUsed/>
    <w:qFormat/>
    <w:rsid w:val="00514DAC"/>
    <w:pPr>
      <w:keepNext/>
      <w:keepLines/>
      <w:spacing w:before="280" w:after="80"/>
      <w:outlineLvl w:val="2"/>
    </w:pPr>
    <w:rPr>
      <w:b/>
      <w:sz w:val="28"/>
      <w:szCs w:val="28"/>
    </w:rPr>
  </w:style>
  <w:style w:type="paragraph" w:styleId="4">
    <w:name w:val="heading 4"/>
    <w:basedOn w:val="a"/>
    <w:next w:val="a"/>
    <w:uiPriority w:val="9"/>
    <w:semiHidden/>
    <w:unhideWhenUsed/>
    <w:qFormat/>
    <w:rsid w:val="00514DAC"/>
    <w:pPr>
      <w:keepNext/>
      <w:keepLines/>
      <w:spacing w:before="240" w:after="40"/>
      <w:outlineLvl w:val="3"/>
    </w:pPr>
    <w:rPr>
      <w:b/>
      <w:sz w:val="24"/>
      <w:szCs w:val="24"/>
    </w:rPr>
  </w:style>
  <w:style w:type="paragraph" w:styleId="5">
    <w:name w:val="heading 5"/>
    <w:basedOn w:val="a"/>
    <w:next w:val="a"/>
    <w:uiPriority w:val="9"/>
    <w:semiHidden/>
    <w:unhideWhenUsed/>
    <w:qFormat/>
    <w:rsid w:val="00514DAC"/>
    <w:pPr>
      <w:keepNext/>
      <w:keepLines/>
      <w:spacing w:before="220" w:after="40"/>
      <w:outlineLvl w:val="4"/>
    </w:pPr>
    <w:rPr>
      <w:b/>
    </w:rPr>
  </w:style>
  <w:style w:type="paragraph" w:styleId="6">
    <w:name w:val="heading 6"/>
    <w:basedOn w:val="a"/>
    <w:next w:val="a"/>
    <w:uiPriority w:val="9"/>
    <w:semiHidden/>
    <w:unhideWhenUsed/>
    <w:qFormat/>
    <w:rsid w:val="00514DA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14DAC"/>
    <w:tblPr>
      <w:tblCellMar>
        <w:top w:w="0" w:type="dxa"/>
        <w:left w:w="0" w:type="dxa"/>
        <w:bottom w:w="0" w:type="dxa"/>
        <w:right w:w="0" w:type="dxa"/>
      </w:tblCellMar>
    </w:tblPr>
  </w:style>
  <w:style w:type="paragraph" w:styleId="a3">
    <w:name w:val="Title"/>
    <w:basedOn w:val="a"/>
    <w:next w:val="a"/>
    <w:uiPriority w:val="10"/>
    <w:qFormat/>
    <w:rsid w:val="00514DAC"/>
    <w:pPr>
      <w:keepNext/>
      <w:keepLines/>
      <w:spacing w:before="480" w:after="120"/>
    </w:pPr>
    <w:rPr>
      <w:b/>
      <w:sz w:val="72"/>
      <w:szCs w:val="72"/>
    </w:rPr>
  </w:style>
  <w:style w:type="table" w:customStyle="1" w:styleId="TableNormal0">
    <w:name w:val="Table Normal"/>
    <w:rsid w:val="00514DAC"/>
    <w:tblPr>
      <w:tblCellMar>
        <w:top w:w="0" w:type="dxa"/>
        <w:left w:w="0" w:type="dxa"/>
        <w:bottom w:w="0" w:type="dxa"/>
        <w:right w:w="0" w:type="dxa"/>
      </w:tblCellMar>
    </w:tblPr>
  </w:style>
  <w:style w:type="table" w:customStyle="1" w:styleId="TableNormal1">
    <w:name w:val="Table Normal"/>
    <w:rsid w:val="00514DAC"/>
    <w:tblPr>
      <w:tblCellMar>
        <w:top w:w="0" w:type="dxa"/>
        <w:left w:w="0" w:type="dxa"/>
        <w:bottom w:w="0" w:type="dxa"/>
        <w:right w:w="0" w:type="dxa"/>
      </w:tblCellMar>
    </w:tblPr>
  </w:style>
  <w:style w:type="table" w:customStyle="1" w:styleId="TableNormal2">
    <w:name w:val="Table Normal"/>
    <w:rsid w:val="00514DAC"/>
    <w:tblPr>
      <w:tblCellMar>
        <w:top w:w="0" w:type="dxa"/>
        <w:left w:w="0" w:type="dxa"/>
        <w:bottom w:w="0" w:type="dxa"/>
        <w:right w:w="0" w:type="dxa"/>
      </w:tblCellMar>
    </w:tblPr>
  </w:style>
  <w:style w:type="paragraph" w:styleId="a4">
    <w:name w:val="Subtitle"/>
    <w:basedOn w:val="a"/>
    <w:next w:val="a"/>
    <w:uiPriority w:val="11"/>
    <w:qFormat/>
    <w:rsid w:val="00514D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514DAC"/>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514DAC"/>
    <w:tblPr>
      <w:tblStyleRowBandSize w:val="1"/>
      <w:tblStyleColBandSize w:val="1"/>
      <w:tblCellMar>
        <w:top w:w="100" w:type="dxa"/>
        <w:left w:w="100" w:type="dxa"/>
        <w:bottom w:w="100" w:type="dxa"/>
        <w:right w:w="100" w:type="dxa"/>
      </w:tblCellMar>
    </w:tblPr>
  </w:style>
  <w:style w:type="table" w:customStyle="1" w:styleId="af0">
    <w:basedOn w:val="TableNormal2"/>
    <w:rsid w:val="00514DAC"/>
    <w:tblPr>
      <w:tblStyleRowBandSize w:val="1"/>
      <w:tblStyleColBandSize w:val="1"/>
      <w:tblCellMar>
        <w:top w:w="100" w:type="dxa"/>
        <w:left w:w="100" w:type="dxa"/>
        <w:bottom w:w="100" w:type="dxa"/>
        <w:right w:w="100" w:type="dxa"/>
      </w:tblCellMar>
    </w:tblPr>
  </w:style>
  <w:style w:type="table" w:customStyle="1" w:styleId="af1">
    <w:basedOn w:val="TableNormal2"/>
    <w:rsid w:val="00514DAC"/>
    <w:tblPr>
      <w:tblStyleRowBandSize w:val="1"/>
      <w:tblStyleColBandSize w:val="1"/>
      <w:tblCellMar>
        <w:top w:w="100" w:type="dxa"/>
        <w:left w:w="100" w:type="dxa"/>
        <w:bottom w:w="100" w:type="dxa"/>
        <w:right w:w="100" w:type="dxa"/>
      </w:tblCellMar>
    </w:tblPr>
  </w:style>
  <w:style w:type="table" w:customStyle="1" w:styleId="af2">
    <w:basedOn w:val="TableNormal2"/>
    <w:rsid w:val="00514DAC"/>
    <w:tblPr>
      <w:tblStyleRowBandSize w:val="1"/>
      <w:tblStyleColBandSize w:val="1"/>
      <w:tblCellMar>
        <w:top w:w="100" w:type="dxa"/>
        <w:left w:w="100" w:type="dxa"/>
        <w:bottom w:w="100" w:type="dxa"/>
        <w:right w:w="100" w:type="dxa"/>
      </w:tblCellMar>
    </w:tblPr>
  </w:style>
  <w:style w:type="table" w:customStyle="1" w:styleId="af3">
    <w:basedOn w:val="TableNormal2"/>
    <w:rsid w:val="00514DAC"/>
    <w:tblPr>
      <w:tblStyleRowBandSize w:val="1"/>
      <w:tblStyleColBandSize w:val="1"/>
      <w:tblCellMar>
        <w:top w:w="100" w:type="dxa"/>
        <w:left w:w="100" w:type="dxa"/>
        <w:bottom w:w="100" w:type="dxa"/>
        <w:right w:w="100" w:type="dxa"/>
      </w:tblCellMar>
    </w:tblPr>
  </w:style>
  <w:style w:type="table" w:customStyle="1" w:styleId="af4">
    <w:basedOn w:val="TableNormal2"/>
    <w:rsid w:val="00514DAC"/>
    <w:tblPr>
      <w:tblStyleRowBandSize w:val="1"/>
      <w:tblStyleColBandSize w:val="1"/>
      <w:tblCellMar>
        <w:top w:w="100" w:type="dxa"/>
        <w:left w:w="100" w:type="dxa"/>
        <w:bottom w:w="100" w:type="dxa"/>
        <w:right w:w="100" w:type="dxa"/>
      </w:tblCellMar>
    </w:tblPr>
  </w:style>
  <w:style w:type="table" w:customStyle="1" w:styleId="af5">
    <w:basedOn w:val="TableNormal2"/>
    <w:rsid w:val="00514DAC"/>
    <w:tblPr>
      <w:tblStyleRowBandSize w:val="1"/>
      <w:tblStyleColBandSize w:val="1"/>
      <w:tblCellMar>
        <w:top w:w="0" w:type="dxa"/>
        <w:left w:w="108" w:type="dxa"/>
        <w:bottom w:w="0" w:type="dxa"/>
        <w:right w:w="108" w:type="dxa"/>
      </w:tblCellMar>
    </w:tblPr>
  </w:style>
  <w:style w:type="table" w:customStyle="1" w:styleId="af6">
    <w:basedOn w:val="TableNormal2"/>
    <w:rsid w:val="00514DAC"/>
    <w:tblPr>
      <w:tblStyleRowBandSize w:val="1"/>
      <w:tblStyleColBandSize w:val="1"/>
      <w:tblCellMar>
        <w:top w:w="0" w:type="dxa"/>
        <w:left w:w="108" w:type="dxa"/>
        <w:bottom w:w="0" w:type="dxa"/>
        <w:right w:w="108" w:type="dxa"/>
      </w:tblCellMar>
    </w:tblPr>
  </w:style>
  <w:style w:type="paragraph" w:styleId="af7">
    <w:name w:val="List Paragraph"/>
    <w:aliases w:val="Список уровня 2"/>
    <w:basedOn w:val="a"/>
    <w:link w:val="af8"/>
    <w:uiPriority w:val="99"/>
    <w:qFormat/>
    <w:rsid w:val="00216FE0"/>
    <w:pPr>
      <w:ind w:left="720"/>
      <w:contextualSpacing/>
    </w:pPr>
  </w:style>
  <w:style w:type="paragraph" w:styleId="af9">
    <w:name w:val="header"/>
    <w:basedOn w:val="a"/>
    <w:link w:val="afa"/>
    <w:uiPriority w:val="99"/>
    <w:unhideWhenUsed/>
    <w:rsid w:val="00177333"/>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177333"/>
  </w:style>
  <w:style w:type="paragraph" w:styleId="afb">
    <w:name w:val="footer"/>
    <w:basedOn w:val="a"/>
    <w:link w:val="afc"/>
    <w:uiPriority w:val="99"/>
    <w:unhideWhenUsed/>
    <w:rsid w:val="00177333"/>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177333"/>
  </w:style>
  <w:style w:type="character" w:customStyle="1" w:styleId="af8">
    <w:name w:val="Абзац списка Знак"/>
    <w:aliases w:val="Список уровня 2 Знак"/>
    <w:link w:val="af7"/>
    <w:uiPriority w:val="99"/>
    <w:rsid w:val="006C2AFC"/>
  </w:style>
</w:styles>
</file>

<file path=word/webSettings.xml><?xml version="1.0" encoding="utf-8"?>
<w:webSettings xmlns:r="http://schemas.openxmlformats.org/officeDocument/2006/relationships" xmlns:w="http://schemas.openxmlformats.org/wordprocessingml/2006/main">
  <w:divs>
    <w:div w:id="94524230">
      <w:bodyDiv w:val="1"/>
      <w:marLeft w:val="0"/>
      <w:marRight w:val="0"/>
      <w:marTop w:val="0"/>
      <w:marBottom w:val="0"/>
      <w:divBdr>
        <w:top w:val="none" w:sz="0" w:space="0" w:color="auto"/>
        <w:left w:val="none" w:sz="0" w:space="0" w:color="auto"/>
        <w:bottom w:val="none" w:sz="0" w:space="0" w:color="auto"/>
        <w:right w:val="none" w:sz="0" w:space="0" w:color="auto"/>
      </w:divBdr>
    </w:div>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2022-11-28T07:58:00Z</dcterms:created>
  <dcterms:modified xsi:type="dcterms:W3CDTF">2023-01-02T10:40:00Z</dcterms:modified>
</cp:coreProperties>
</file>