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AD997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A3748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Pr="00501927">
        <w:rPr>
          <w:rFonts w:ascii="Times New Roman" w:hAnsi="Times New Roman"/>
          <w:b/>
          <w:bCs/>
          <w:sz w:val="24"/>
          <w:szCs w:val="24"/>
          <w:lang w:val="uk-UA"/>
        </w:rPr>
        <w:t>Додаток № 1</w:t>
      </w:r>
    </w:p>
    <w:p w14:paraId="489A623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501927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до тендерної документації</w:t>
      </w:r>
    </w:p>
    <w:p w14:paraId="65B63164" w14:textId="77777777" w:rsidR="00D13E20" w:rsidRPr="00501927" w:rsidRDefault="00D13E20" w:rsidP="00D13E20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14:paraId="1991B4A1" w14:textId="77777777" w:rsidR="00D13E20" w:rsidRPr="00501927" w:rsidRDefault="00D13E20" w:rsidP="00D13E20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 xml:space="preserve">КВАЛІФІКАЦІЙНІ КРИТЕРІЇ ТА ПЕРЕЛІК ДОКУМЕНТІВ, ЩО ПОДАЮТЬСЯ УЧАСНИКАМИ У СКЛАДІ ТЕНДЕРНОЇ ПРОПОЗИЦІЇ ДЛЯ ПІДТВЕРДЖЕННЯ ІНФОРМАЦІЇ ПРО ВІДПОВІДНІСТЬ ЇХ ТАКИМ КРИТЕРІЯМ </w:t>
      </w:r>
    </w:p>
    <w:p w14:paraId="05CB3C2A" w14:textId="77777777" w:rsidR="00D13E20" w:rsidRPr="00501927" w:rsidRDefault="00D13E20" w:rsidP="00D13E20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 w:rsidRPr="00501927">
        <w:rPr>
          <w:rFonts w:ascii="Times New Roman" w:hAnsi="Times New Roman"/>
          <w:b/>
          <w:bCs/>
          <w:sz w:val="20"/>
          <w:szCs w:val="20"/>
          <w:lang w:val="uk-UA" w:eastAsia="ru-RU"/>
        </w:rPr>
        <w:t>(відповідно до статті 16 Закону)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088"/>
      </w:tblGrid>
      <w:tr w:rsidR="00D13E20" w14:paraId="2424D6C8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C929" w14:textId="77777777" w:rsidR="00D13E20" w:rsidRPr="002A346A" w:rsidRDefault="00D13E20" w:rsidP="006B7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Критерій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02B0" w14:textId="77777777" w:rsidR="00D13E20" w:rsidRPr="002A346A" w:rsidRDefault="00D13E20" w:rsidP="008842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Підтвердження</w:t>
            </w:r>
            <w:proofErr w:type="spellEnd"/>
            <w:r w:rsidRPr="002A346A">
              <w:rPr>
                <w:rFonts w:ascii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2A346A">
              <w:rPr>
                <w:rFonts w:ascii="Times New Roman" w:hAnsi="Times New Roman" w:cs="Times New Roman"/>
                <w:b/>
                <w:lang w:eastAsia="ru-RU"/>
              </w:rPr>
              <w:t>відповідності</w:t>
            </w:r>
            <w:proofErr w:type="spellEnd"/>
          </w:p>
        </w:tc>
      </w:tr>
      <w:tr w:rsidR="00333B3F" w:rsidRPr="004A0DF3" w14:paraId="0CC85829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BD29" w14:textId="6C0A6984" w:rsidR="00333B3F" w:rsidRPr="004A0DF3" w:rsidRDefault="00333B3F" w:rsidP="004A0D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D144" w14:textId="77777777" w:rsidR="00333B3F" w:rsidRPr="004A0DF3" w:rsidRDefault="00333B3F" w:rsidP="00884289">
            <w:pPr>
              <w:spacing w:after="0" w:line="240" w:lineRule="auto"/>
              <w:ind w:right="158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4A0DF3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матеріально-технічної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бази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необхідних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визначених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технічних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вимогах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кількості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правової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володіння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76B1CA1" w14:textId="77777777" w:rsidR="00333B3F" w:rsidRPr="004A0DF3" w:rsidRDefault="00333B3F" w:rsidP="00884289">
            <w:pPr>
              <w:spacing w:after="0" w:line="240" w:lineRule="auto"/>
              <w:ind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необхідно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336414D" w14:textId="77777777" w:rsidR="00333B3F" w:rsidRPr="004A0DF3" w:rsidRDefault="00333B3F" w:rsidP="00884289">
            <w:pPr>
              <w:numPr>
                <w:ilvl w:val="0"/>
                <w:numId w:val="3"/>
              </w:numPr>
              <w:spacing w:after="0" w:line="240" w:lineRule="auto"/>
              <w:ind w:right="156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 за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пересуванням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охоронника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охороняється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шляхом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видаткова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(-і) накладна (-і),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свідчить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про поставку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контролю)/договору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- продажу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контролю)/договору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контролю); </w:t>
            </w:r>
          </w:p>
          <w:p w14:paraId="137407A2" w14:textId="77777777" w:rsidR="00333B3F" w:rsidRPr="00BD6762" w:rsidRDefault="00333B3F" w:rsidP="00884289">
            <w:pPr>
              <w:numPr>
                <w:ilvl w:val="0"/>
                <w:numId w:val="3"/>
              </w:numPr>
              <w:spacing w:after="0" w:line="240" w:lineRule="auto"/>
              <w:ind w:right="156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персональних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супутникових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GPS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трекерів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функцією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тривожна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кнопка»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можливістю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моніторингу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шляхів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пересування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охоронників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5-ти. шт.), шляхом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одного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видаткова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(-і) накладна (-і),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свідчить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про поставку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- продажу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Обов’язково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GPS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трекерів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про модель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коди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IMEI. </w:t>
            </w:r>
          </w:p>
          <w:p w14:paraId="65559177" w14:textId="77777777" w:rsidR="00333B3F" w:rsidRPr="00BD6762" w:rsidRDefault="00333B3F" w:rsidP="00884289">
            <w:pPr>
              <w:numPr>
                <w:ilvl w:val="0"/>
                <w:numId w:val="3"/>
              </w:numPr>
              <w:spacing w:after="0" w:line="240" w:lineRule="auto"/>
              <w:ind w:right="156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2-х),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зареєстрованого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встановленому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МВС порядку, як транспорт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спеціалізованого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обладнаний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засобами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радіотехнічного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зв'язку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кольорографічними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схемами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написами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відповідними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світловими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звуковими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сигналами, шляхом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EBA643D" w14:textId="77777777" w:rsidR="00333B3F" w:rsidRPr="00BD6762" w:rsidRDefault="00333B3F" w:rsidP="00884289">
            <w:pPr>
              <w:numPr>
                <w:ilvl w:val="0"/>
                <w:numId w:val="3"/>
              </w:numPr>
              <w:spacing w:after="0" w:line="240" w:lineRule="auto"/>
              <w:ind w:right="156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свідоцтва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* про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реєстрацію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містять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запис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Спеціальний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Спеціалізований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"; </w:t>
            </w:r>
          </w:p>
          <w:p w14:paraId="0B893718" w14:textId="0A2B4F31" w:rsidR="00333B3F" w:rsidRPr="00BD6762" w:rsidRDefault="00333B3F" w:rsidP="00884289">
            <w:pPr>
              <w:numPr>
                <w:ilvl w:val="0"/>
                <w:numId w:val="3"/>
              </w:numPr>
              <w:spacing w:after="0" w:line="240" w:lineRule="auto"/>
              <w:ind w:right="156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фото транспорту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обладнаним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кольорографічними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схемами (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написами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світловими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звуковими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сигналами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 порядку</w:t>
            </w:r>
            <w:proofErr w:type="gram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затвердженого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наказом МВС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18.04.2013 р. № 375; </w:t>
            </w:r>
          </w:p>
          <w:p w14:paraId="2A133E34" w14:textId="77777777" w:rsidR="00333B3F" w:rsidRPr="00BD6762" w:rsidRDefault="00333B3F" w:rsidP="00884289">
            <w:pPr>
              <w:numPr>
                <w:ilvl w:val="0"/>
                <w:numId w:val="3"/>
              </w:numPr>
              <w:spacing w:after="0" w:line="240" w:lineRule="auto"/>
              <w:ind w:right="156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дозволи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транспорті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спеціальних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світлових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сигнальних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пристроїв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наказу МВС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462A5B" w14:textId="77777777" w:rsidR="00333B3F" w:rsidRPr="00BD6762" w:rsidRDefault="00333B3F" w:rsidP="008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18.04.13 №375); </w:t>
            </w:r>
          </w:p>
          <w:p w14:paraId="01D3BA42" w14:textId="77777777" w:rsidR="00333B3F" w:rsidRPr="00BD6762" w:rsidRDefault="00333B3F" w:rsidP="00884289">
            <w:pPr>
              <w:numPr>
                <w:ilvl w:val="0"/>
                <w:numId w:val="3"/>
              </w:numPr>
              <w:spacing w:after="0" w:line="240" w:lineRule="auto"/>
              <w:ind w:right="156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перебування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військовому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обліку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вимог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постанови КМУ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29D173F" w14:textId="77777777" w:rsidR="00333B3F" w:rsidRPr="00BD6762" w:rsidRDefault="00333B3F" w:rsidP="00884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17.06.2015 р. № 405); </w:t>
            </w:r>
          </w:p>
          <w:p w14:paraId="5BF6DAA8" w14:textId="77777777" w:rsidR="00333B3F" w:rsidRPr="00BD6762" w:rsidRDefault="00333B3F" w:rsidP="00884289">
            <w:pPr>
              <w:spacing w:after="0" w:line="240" w:lineRule="auto"/>
              <w:ind w:right="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*у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належить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учаснику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Pr="00BD6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відповідних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транспортних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реагування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укладений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іншим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суб’єктом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зазначені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вище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яким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укладено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ліцензії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охоронної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такого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суб’єкта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82F4DDA" w14:textId="77777777" w:rsidR="00333B3F" w:rsidRPr="00BD6762" w:rsidRDefault="00333B3F" w:rsidP="00884289">
            <w:pPr>
              <w:numPr>
                <w:ilvl w:val="0"/>
                <w:numId w:val="4"/>
              </w:numPr>
              <w:spacing w:after="0" w:line="240" w:lineRule="auto"/>
              <w:ind w:right="60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копію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 про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користування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пульту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централізованого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спостереження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передавання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тривожних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сповіщень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діючий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сертифікат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відповідності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обладнання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39CA7079" w14:textId="2B53912B" w:rsidR="00333B3F" w:rsidRPr="00BD6762" w:rsidRDefault="00333B3F" w:rsidP="00884289">
            <w:pPr>
              <w:numPr>
                <w:ilvl w:val="0"/>
                <w:numId w:val="4"/>
              </w:numPr>
              <w:spacing w:after="0" w:line="240" w:lineRule="auto"/>
              <w:ind w:right="60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дозволів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експлуатацію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радіоелектронних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відомості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автоматизованої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інформаційної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радіочастотним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спектром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присвоєнь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радіочастот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(ПРЧ) для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абонентського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радіообладнання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безпосереднього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ультракороткохвильового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радіозв’язку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вказанням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номерів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радіочастоти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Реєстрі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присвоєнь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радіочастот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загальних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користувачів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6F83" w:rsidRPr="00BD67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)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потужністю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передавача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2 Вт; </w:t>
            </w:r>
          </w:p>
          <w:p w14:paraId="2649A85A" w14:textId="77777777" w:rsidR="00333B3F" w:rsidRPr="00BD6762" w:rsidRDefault="00333B3F" w:rsidP="00884289">
            <w:pPr>
              <w:numPr>
                <w:ilvl w:val="0"/>
                <w:numId w:val="4"/>
              </w:numPr>
              <w:spacing w:after="0" w:line="240" w:lineRule="auto"/>
              <w:ind w:right="60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документальне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спеціального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форменого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 сезону</w:t>
            </w:r>
            <w:proofErr w:type="gram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шляхом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одного з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наступних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видаткова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(-і) накладна (- і),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свідчить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про поставку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спецодягу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договір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купівлі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- продажу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спецодягу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Додатково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фото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форменого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одягу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CC48BA" w14:textId="77777777" w:rsidR="00333B3F" w:rsidRPr="004A0DF3" w:rsidRDefault="00333B3F" w:rsidP="00884289">
            <w:pPr>
              <w:numPr>
                <w:ilvl w:val="1"/>
                <w:numId w:val="5"/>
              </w:numPr>
              <w:spacing w:after="0" w:line="240" w:lineRule="auto"/>
              <w:ind w:right="63" w:firstLine="3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цілодобової</w:t>
            </w:r>
            <w:proofErr w:type="spellEnd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D6762">
              <w:rPr>
                <w:rFonts w:ascii="Times New Roman" w:hAnsi="Times New Roman" w:cs="Times New Roman"/>
                <w:sz w:val="24"/>
                <w:szCs w:val="24"/>
              </w:rPr>
              <w:t>диспетчерської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зазначенням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номеру телефону. </w:t>
            </w:r>
          </w:p>
          <w:p w14:paraId="1B7FB17A" w14:textId="220F0514" w:rsidR="00333B3F" w:rsidRPr="004A0DF3" w:rsidRDefault="00333B3F" w:rsidP="008842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містить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збільшення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охоронців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вимогою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Замовника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загрозі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виникнення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ситуації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дає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можливості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забезпечити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підтримання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на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території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об’єкта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наявними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силами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повинен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посилювати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кількісний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склад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силами.</w:t>
            </w:r>
          </w:p>
        </w:tc>
      </w:tr>
      <w:tr w:rsidR="00333B3F" w:rsidRPr="00596F83" w14:paraId="07A614BF" w14:textId="77777777" w:rsidTr="006B7A2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05D8" w14:textId="4BBFFC07" w:rsidR="00333B3F" w:rsidRPr="004A0DF3" w:rsidRDefault="00333B3F" w:rsidP="004A0DF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Наявність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відповідної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кваліфікації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необхідні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знання</w:t>
            </w:r>
            <w:proofErr w:type="spellEnd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4A0DF3">
              <w:rPr>
                <w:rFonts w:ascii="Times New Roman" w:hAnsi="Times New Roman" w:cs="Times New Roman"/>
                <w:sz w:val="24"/>
                <w:szCs w:val="24"/>
              </w:rPr>
              <w:t>досвід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20E7" w14:textId="648FA8D0" w:rsidR="00333B3F" w:rsidRPr="00596F83" w:rsidRDefault="005272C4" w:rsidP="005272C4">
            <w:pPr>
              <w:pStyle w:val="a3"/>
              <w:numPr>
                <w:ilvl w:val="1"/>
                <w:numId w:val="2"/>
              </w:numPr>
              <w:spacing w:after="0" w:line="240" w:lineRule="auto"/>
              <w:ind w:left="0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Довідка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кваліфікованого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персоналу,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відповідають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кваліфікаційним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вимогам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передбаченим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Постановою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Кабінету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Міністрів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18 листопада 2015 року № 960, для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об’єкту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, з числа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віком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років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(не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01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охоронників</w:t>
            </w:r>
            <w:proofErr w:type="spellEnd"/>
            <w:r w:rsidR="00333B3F" w:rsidRPr="004A0D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8428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підтвердження інформації вказаної в довідці в </w:t>
            </w:r>
            <w:r w:rsidR="00884289" w:rsidRPr="00596F83">
              <w:rPr>
                <w:rFonts w:ascii="Times New Roman" w:hAnsi="Times New Roman" w:cs="Times New Roman"/>
                <w:sz w:val="24"/>
                <w:szCs w:val="24"/>
              </w:rPr>
              <w:t>складі пропозиції надати:</w:t>
            </w:r>
          </w:p>
          <w:p w14:paraId="4CEAB938" w14:textId="5143E833" w:rsidR="00F35E37" w:rsidRDefault="00F35E37" w:rsidP="00596F83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опія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довідки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органів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МВС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України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Витяг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інформаційно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аналітичної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Облік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відомостей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притягнення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особи до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кримінальної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відповідальності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» про те,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працівник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знятої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погашеної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судимості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скоєння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умисних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злочинів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вимога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стосується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всіх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охоронників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>. 2.1.).</w:t>
            </w:r>
            <w:r w:rsidR="00596F83" w:rsidRPr="00596F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76FF3F" w14:textId="682F07E5" w:rsidR="00333B3F" w:rsidRDefault="00884289" w:rsidP="005272C4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</w:t>
            </w:r>
            <w:r w:rsidR="004A0DF3" w:rsidRPr="004A0D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овідки </w:t>
            </w:r>
            <w:r w:rsidR="004A0DF3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про проходження попереднього, періодичного та позачергового </w:t>
            </w:r>
            <w:r w:rsidR="00D27C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психіатричних оглядів у тому числі на предмет вживання психоактивних речовин (відповідно до п. 11 Порядку проведення попередніх, періодичних та позачергових психіатричних оглядів, у тому числі на предмет вживання психоактивних речовин, затвердженого наказом Міністерства охорони здоров’я України від 18.04.2022 року № 651), чинні на дату подання тендерної пропозиції;</w:t>
            </w:r>
          </w:p>
          <w:p w14:paraId="0095C198" w14:textId="77777777" w:rsidR="00D27C2F" w:rsidRDefault="00D27C2F" w:rsidP="005272C4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27C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довідки, що підтверджують відсутність в особи обмежень за станом здоров’я для виконання функціональних обов’язків охоронця, (відповідно до Додатку 7 п.2.16 Порядку, затвердженого наказом Міністерства охорони здоров’я України від  21.05.2007 №246), чинні на дату подання тендерної пропозиції;</w:t>
            </w:r>
          </w:p>
          <w:p w14:paraId="7A8BA506" w14:textId="3E2DAE97" w:rsidR="00D27C2F" w:rsidRPr="00D27C2F" w:rsidRDefault="00D27C2F" w:rsidP="005272C4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27C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Копії </w:t>
            </w:r>
            <w:proofErr w:type="spellStart"/>
            <w:r w:rsidRPr="00D27C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свідоцтв</w:t>
            </w:r>
            <w:proofErr w:type="spellEnd"/>
            <w:r w:rsidRPr="00D27C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про проходження охоронниками навчання у відповідному закладі з присвоєнням (підвищенням) робітничої кваліфікації «охоронник» не менше третього розряду зазначених у довідці відповідно до </w:t>
            </w:r>
            <w:proofErr w:type="spellStart"/>
            <w:r w:rsidRPr="00D27C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п.п</w:t>
            </w:r>
            <w:proofErr w:type="spellEnd"/>
            <w:r w:rsidRPr="00D27C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. 2.1.</w:t>
            </w:r>
          </w:p>
          <w:p w14:paraId="2DB8050A" w14:textId="5A46C8FF" w:rsidR="00D27C2F" w:rsidRPr="004A0DF3" w:rsidRDefault="00D27C2F" w:rsidP="005272C4">
            <w:pPr>
              <w:pStyle w:val="a3"/>
              <w:numPr>
                <w:ilvl w:val="0"/>
                <w:numId w:val="4"/>
              </w:numPr>
              <w:spacing w:after="0" w:line="240" w:lineRule="auto"/>
              <w:ind w:firstLine="345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D27C2F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Крім того, у складі тендерної пропозиції учаснику необхідно подати гарантійний лист, складений в довільній формі, згідно з яким учасник гарантує, що інформація, надана ним у довільній формі у складі тендерної пропозиції є достовірною та лист-згоду, яким (ми) підтверджується надання згоди на обробку, використання, поширення та доступ до персональних даних, які містяться у складі тендерної пропозиції, відповідно до вимог Закону України «Про захист персональних даних».  </w:t>
            </w:r>
          </w:p>
        </w:tc>
      </w:tr>
      <w:tr w:rsidR="00D13E20" w14:paraId="49FE02B5" w14:textId="77777777" w:rsidTr="006B7A23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14:paraId="34507D04" w14:textId="41737386" w:rsidR="00D13E20" w:rsidRPr="00884289" w:rsidRDefault="005272C4" w:rsidP="006B7A2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2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Наявність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документально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підтвердженого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досвіду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аналогічного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аналогічних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за предметом 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закупівлі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 (</w:t>
            </w:r>
            <w:proofErr w:type="spellStart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договорів</w:t>
            </w:r>
            <w:proofErr w:type="spellEnd"/>
            <w:r w:rsidR="00D13E20" w:rsidRPr="00884289">
              <w:rPr>
                <w:rFonts w:ascii="Times New Roman" w:hAnsi="Times New Roman" w:cs="Times New Roman"/>
                <w:b/>
                <w:sz w:val="24"/>
                <w:szCs w:val="24"/>
              </w:rPr>
              <w:t>);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14:paraId="63C74A9F" w14:textId="4463D2FD" w:rsidR="00D13191" w:rsidRPr="00D13191" w:rsidRDefault="00D13191" w:rsidP="00F447C0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3.1. На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досвіду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аналогічного</w:t>
            </w:r>
            <w:r w:rsidRPr="00D131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) за предметом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1319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6F86A04F" w14:textId="77777777" w:rsidR="00D13191" w:rsidRPr="00D13191" w:rsidRDefault="00D13191" w:rsidP="00F447C0">
            <w:pPr>
              <w:numPr>
                <w:ilvl w:val="0"/>
                <w:numId w:val="6"/>
              </w:num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довідку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довільній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формі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, з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інформацією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аналогічних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за предметом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 (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) (не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одного)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оприлюднені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системі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електронних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Прозорро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»*</w:t>
            </w:r>
            <w:proofErr w:type="gramEnd"/>
          </w:p>
          <w:p w14:paraId="1AC0DBC8" w14:textId="77777777" w:rsidR="00D13191" w:rsidRPr="00D13191" w:rsidRDefault="00D13191" w:rsidP="00F447C0">
            <w:pPr>
              <w:numPr>
                <w:ilvl w:val="0"/>
                <w:numId w:val="6"/>
              </w:num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сканкопії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договору(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зазначених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повному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обсязі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усіма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додатками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додатковими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угодами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(у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C3C7A" w14:textId="77777777" w:rsidR="00D13191" w:rsidRPr="00D13191" w:rsidRDefault="00D13191" w:rsidP="00F447C0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наявності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14:paraId="176916B3" w14:textId="77777777" w:rsidR="00D13191" w:rsidRPr="00D13191" w:rsidRDefault="00D13191" w:rsidP="00F447C0">
            <w:pPr>
              <w:numPr>
                <w:ilvl w:val="0"/>
                <w:numId w:val="6"/>
              </w:num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копії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документів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підтвердження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акти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приймання-передачі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видаткові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накладні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зазначеного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наданій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листи-відгуки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рекомендаційний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лист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тощо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контрагентів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аналогічними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договорами,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зазначено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довідці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надано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складі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тендерної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пропозиції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належне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>цього</w:t>
            </w:r>
            <w:proofErr w:type="spellEnd"/>
            <w:r w:rsidRPr="00D13191">
              <w:rPr>
                <w:rFonts w:ascii="Times New Roman" w:hAnsi="Times New Roman" w:cs="Times New Roman"/>
                <w:sz w:val="24"/>
                <w:szCs w:val="24"/>
              </w:rPr>
              <w:t xml:space="preserve"> договору. </w:t>
            </w:r>
          </w:p>
          <w:p w14:paraId="02030C5D" w14:textId="3598869A" w:rsidR="00D13E20" w:rsidRPr="004A0DF3" w:rsidRDefault="00D13191" w:rsidP="00D13191">
            <w:pPr>
              <w:pStyle w:val="a6"/>
              <w:ind w:firstLine="345"/>
              <w:jc w:val="both"/>
              <w:rPr>
                <w:szCs w:val="24"/>
                <w:shd w:val="clear" w:color="auto" w:fill="FFFFFF"/>
              </w:rPr>
            </w:pPr>
            <w:r w:rsidRPr="00D13191">
              <w:rPr>
                <w:szCs w:val="24"/>
              </w:rPr>
              <w:t>*</w:t>
            </w:r>
            <w:r w:rsidRPr="00D13191">
              <w:rPr>
                <w:i/>
                <w:szCs w:val="24"/>
              </w:rPr>
              <w:t xml:space="preserve">В разі відсутності аналогічного договору, оприлюдненого в системі електронних </w:t>
            </w:r>
            <w:proofErr w:type="spellStart"/>
            <w:r w:rsidRPr="00D13191">
              <w:rPr>
                <w:i/>
                <w:szCs w:val="24"/>
              </w:rPr>
              <w:t>закупівель</w:t>
            </w:r>
            <w:proofErr w:type="spellEnd"/>
            <w:r w:rsidRPr="00D13191">
              <w:rPr>
                <w:i/>
                <w:szCs w:val="24"/>
              </w:rPr>
              <w:t xml:space="preserve"> «</w:t>
            </w:r>
            <w:proofErr w:type="spellStart"/>
            <w:r w:rsidRPr="00D13191">
              <w:rPr>
                <w:i/>
                <w:szCs w:val="24"/>
              </w:rPr>
              <w:t>Прозорро</w:t>
            </w:r>
            <w:proofErr w:type="spellEnd"/>
            <w:r w:rsidRPr="00D13191">
              <w:rPr>
                <w:i/>
                <w:szCs w:val="24"/>
              </w:rPr>
              <w:t>» Учасник окрім вищезазначених документів має надати копії банківських виписок, які підтверджують отримання коштів за вказаним у довідці договором (зазначені виписки обов’язково повинні бути завірені банківською установою у якій відкрито рахунок на який надходили кошти).</w:t>
            </w:r>
          </w:p>
        </w:tc>
      </w:tr>
      <w:tr w:rsidR="003A57ED" w:rsidRPr="003A57ED" w14:paraId="43D8AD2C" w14:textId="77777777" w:rsidTr="006B7A23">
        <w:tc>
          <w:tcPr>
            <w:tcW w:w="2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14:paraId="1162FBDC" w14:textId="1D1CD661" w:rsidR="003A57ED" w:rsidRPr="003A57ED" w:rsidRDefault="003A57ED" w:rsidP="003A5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green"/>
                <w:lang w:val="uk-UA"/>
              </w:rPr>
            </w:pPr>
            <w:r w:rsidRPr="003A5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спроможності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D64ECAF" w14:textId="768C6315" w:rsidR="003A57ED" w:rsidRPr="003A57ED" w:rsidRDefault="003A57ED" w:rsidP="003A57ED">
            <w:pPr>
              <w:spacing w:after="0" w:line="240" w:lineRule="auto"/>
              <w:ind w:right="181" w:firstLine="3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На підтвердження фінансової спроможності Учасника надати баланс (форма №1-м), звіт про фінансові результати (форма №2-м) за останній звітний період з відміткою органів статистики або іншим документом, підтверджуючим прийняття звіту органами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Держстатистики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засвідчені учасником. </w:t>
            </w:r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spellStart"/>
            <w:proofErr w:type="gram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разі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якщо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учасник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до норм чинного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законодавства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зобов’язаний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складати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вказані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він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подає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інші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фінансові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документи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є документами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звітності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, та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зазначає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інформацію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законодавчі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підстави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ведення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Звітність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фінансової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спроможності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Учасника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підтверджувати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отримання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Учасником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доходу (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виручки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) за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останній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звітній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період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ніж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очікувана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3A57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30BAB911" w14:textId="65571CA7" w:rsidR="00D13E20" w:rsidRPr="0072701F" w:rsidRDefault="0072701F" w:rsidP="0072701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4"/>
          <w:lang w:eastAsia="ru-RU"/>
        </w:rPr>
      </w:pPr>
      <w:proofErr w:type="spellStart"/>
      <w:r w:rsidRPr="0072701F">
        <w:rPr>
          <w:rFonts w:ascii="Times New Roman" w:hAnsi="Times New Roman" w:cs="Times New Roman"/>
          <w:sz w:val="20"/>
        </w:rPr>
        <w:t>Аналогічним</w:t>
      </w:r>
      <w:proofErr w:type="spellEnd"/>
      <w:r w:rsidRPr="007270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2701F">
        <w:rPr>
          <w:rFonts w:ascii="Times New Roman" w:hAnsi="Times New Roman" w:cs="Times New Roman"/>
          <w:sz w:val="20"/>
        </w:rPr>
        <w:t>вважається</w:t>
      </w:r>
      <w:proofErr w:type="spellEnd"/>
      <w:r w:rsidRPr="007270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2701F">
        <w:rPr>
          <w:rFonts w:ascii="Times New Roman" w:hAnsi="Times New Roman" w:cs="Times New Roman"/>
          <w:sz w:val="20"/>
        </w:rPr>
        <w:t>договір</w:t>
      </w:r>
      <w:proofErr w:type="spellEnd"/>
      <w:r w:rsidRPr="0072701F">
        <w:rPr>
          <w:rFonts w:ascii="Times New Roman" w:hAnsi="Times New Roman" w:cs="Times New Roman"/>
          <w:sz w:val="20"/>
        </w:rPr>
        <w:t xml:space="preserve"> на </w:t>
      </w:r>
      <w:proofErr w:type="spellStart"/>
      <w:r w:rsidRPr="0072701F">
        <w:rPr>
          <w:rFonts w:ascii="Times New Roman" w:hAnsi="Times New Roman" w:cs="Times New Roman"/>
          <w:sz w:val="20"/>
        </w:rPr>
        <w:t>надання</w:t>
      </w:r>
      <w:proofErr w:type="spellEnd"/>
      <w:r w:rsidRPr="007270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2701F">
        <w:rPr>
          <w:rFonts w:ascii="Times New Roman" w:hAnsi="Times New Roman" w:cs="Times New Roman"/>
          <w:sz w:val="20"/>
        </w:rPr>
        <w:t>охоронних</w:t>
      </w:r>
      <w:proofErr w:type="spellEnd"/>
      <w:r w:rsidRPr="0072701F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72701F">
        <w:rPr>
          <w:rFonts w:ascii="Times New Roman" w:hAnsi="Times New Roman" w:cs="Times New Roman"/>
          <w:sz w:val="20"/>
        </w:rPr>
        <w:t>послуг</w:t>
      </w:r>
      <w:proofErr w:type="spellEnd"/>
      <w:r w:rsidRPr="0072701F">
        <w:rPr>
          <w:rFonts w:ascii="Times New Roman" w:hAnsi="Times New Roman" w:cs="Times New Roman"/>
          <w:sz w:val="20"/>
        </w:rPr>
        <w:t>.</w:t>
      </w:r>
    </w:p>
    <w:p w14:paraId="065A8D75" w14:textId="77777777" w:rsidR="00D13E20" w:rsidRPr="00501927" w:rsidRDefault="00D13E20" w:rsidP="00D13E20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</w:pPr>
      <w:r w:rsidRPr="00501927">
        <w:rPr>
          <w:rFonts w:ascii="Times New Roman" w:hAnsi="Times New Roman"/>
          <w:i/>
          <w:iCs/>
          <w:color w:val="000000"/>
          <w:sz w:val="18"/>
          <w:szCs w:val="24"/>
          <w:lang w:val="uk-UA" w:eastAsia="ru-RU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5AF17188" w14:textId="77777777" w:rsidR="00D13E20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7B9D58CD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Перелік «Інших документів», які необхідно подати учасникам в складі пропозиції:</w:t>
      </w:r>
    </w:p>
    <w:tbl>
      <w:tblPr>
        <w:tblW w:w="1020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835"/>
        <w:gridCol w:w="6946"/>
      </w:tblGrid>
      <w:tr w:rsidR="00D13E20" w:rsidRPr="00CA3748" w14:paraId="4AEA017A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64ADFA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33340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1F982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про учасника за встановленою формою:</w:t>
            </w:r>
          </w:p>
          <w:p w14:paraId="0A4DF993" w14:textId="77777777" w:rsidR="00D13E20" w:rsidRPr="003A57ED" w:rsidRDefault="00D13E20" w:rsidP="006B7A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Форма «ВІДОМОСТІ ПРО УЧАСНИКА».</w:t>
            </w:r>
          </w:p>
          <w:p w14:paraId="6C6C2DE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Повна та скорочена назва учасника:</w:t>
            </w:r>
          </w:p>
          <w:p w14:paraId="0D2ADFC7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Назва документа, яким затверджено Статут учасника, його номер та дата (для юридичних осіб):</w:t>
            </w:r>
          </w:p>
          <w:p w14:paraId="40D78061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Місце та дата проведення державної реєстрації учасника:</w:t>
            </w:r>
          </w:p>
          <w:p w14:paraId="2664CDBA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Статус учасника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u w:val="single"/>
                <w:lang w:val="uk-UA"/>
              </w:rPr>
              <w:t>(виробник або надавач послуг або виконавець робіт, дилер, представник або ін.)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  <w:p w14:paraId="04350CCD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Організаційно-правова форма:</w:t>
            </w:r>
          </w:p>
          <w:p w14:paraId="0238B8BE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Форма власності:</w:t>
            </w:r>
          </w:p>
          <w:p w14:paraId="55140134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Юридична адреса:</w:t>
            </w:r>
          </w:p>
          <w:p w14:paraId="7B7EF9DC" w14:textId="77777777" w:rsidR="00D13E20" w:rsidRPr="003A57ED" w:rsidRDefault="00D13E20" w:rsidP="00D13E2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Поштова адреса: </w:t>
            </w:r>
          </w:p>
          <w:p w14:paraId="51447930" w14:textId="77777777" w:rsidR="00D13E20" w:rsidRPr="003A57ED" w:rsidRDefault="00D13E20" w:rsidP="00D13E20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Реквізити банку/банків (номер рахунку (у разі наявності), найменування банку та його код МФО), у якому (яких) обслуговується учасник: (</w:t>
            </w:r>
            <w:r w:rsidRPr="003A57ED">
              <w:rPr>
                <w:rFonts w:ascii="Times New Roman" w:eastAsia="Times New Roman" w:hAnsi="Times New Roman"/>
                <w:i/>
                <w:sz w:val="24"/>
                <w:szCs w:val="24"/>
                <w:lang w:val="uk-UA"/>
              </w:rPr>
              <w:t>у даному пункті зазначаються реквізити банку (банків) у якому (яких) обслуговується учасник).</w:t>
            </w:r>
          </w:p>
        </w:tc>
      </w:tr>
      <w:tr w:rsidR="00D13E20" w:rsidRPr="003A57ED" w14:paraId="68B2EAFF" w14:textId="77777777" w:rsidTr="006B7A23">
        <w:trPr>
          <w:trHeight w:val="37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7736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2CDD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Відомості щодо сплати податків та зборів ( у разі наявності)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B83B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Для платників ПДВ: </w:t>
            </w:r>
          </w:p>
          <w:p w14:paraId="2DE88F91" w14:textId="77777777" w:rsidR="00D13E20" w:rsidRPr="003A57ED" w:rsidRDefault="00D13E20" w:rsidP="006B7A23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 w:eastAsia="ar-S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реєстрацію платника ПДВ або копія витягу з реєстру платників ПДВ </w:t>
            </w:r>
          </w:p>
          <w:p w14:paraId="4DD8893D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Для платників єдиного податку:</w:t>
            </w:r>
          </w:p>
          <w:p w14:paraId="0715C1A7" w14:textId="77777777" w:rsidR="00D13E20" w:rsidRPr="003A57ED" w:rsidRDefault="00D13E20" w:rsidP="006B7A23">
            <w:pPr>
              <w:keepNext/>
              <w:keepLines/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- 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Сканована з оригіналу копія </w:t>
            </w:r>
            <w:r w:rsidRPr="003A57ED">
              <w:rPr>
                <w:rFonts w:ascii="Times New Roman" w:eastAsia="Times New Roman" w:hAnsi="Times New Roman"/>
                <w:kern w:val="2"/>
                <w:sz w:val="24"/>
                <w:szCs w:val="24"/>
                <w:lang w:val="uk-UA"/>
              </w:rPr>
              <w:t xml:space="preserve">свідоцтва про сплату єдиного податку або копія витягу з реєстру платників єдиного податку . </w:t>
            </w:r>
          </w:p>
        </w:tc>
      </w:tr>
      <w:tr w:rsidR="00D13E20" w:rsidRPr="003A57ED" w14:paraId="5A84C7C3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EE35D8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466F3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Надання згоди на використання інформації на виконання вимог  Закону України «Про захист персональних даних»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5D0F" w14:textId="77777777" w:rsidR="00D13E20" w:rsidRPr="003A57ED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Довідка в довільній формі або відповідно до взірця, що наведений в </w:t>
            </w:r>
            <w:r w:rsidRPr="003A57ED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нижче</w:t>
            </w: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повинна бути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підписана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особою, яка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підписує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пропозицію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та/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уповноважена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підписання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договору про </w:t>
            </w:r>
            <w:proofErr w:type="spellStart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закупівлю</w:t>
            </w:r>
            <w:proofErr w:type="spellEnd"/>
            <w:r w:rsidRPr="003A57E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13E20" w:rsidRPr="00CA3748" w14:paraId="31B3027D" w14:textId="77777777" w:rsidTr="006B7A23">
        <w:trPr>
          <w:trHeight w:val="4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07056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26DAE" w14:textId="77777777" w:rsidR="00D13E20" w:rsidRPr="003A57ED" w:rsidRDefault="00D13E20" w:rsidP="006B7A2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ліцензії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8F44" w14:textId="77777777" w:rsidR="00D13E20" w:rsidRPr="00CA3748" w:rsidRDefault="00D13E20" w:rsidP="006B7A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3A57ED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Наявність відповідного дозволу або ліцензії: копія дозволу (ліцензії) на провадження певного виду господарської діяльності пов’язаної з цим предметом закупівлі, якщо такий дозвіл (ліцензія) необхідний згідно з чинним законодавством на такий вид діяльності надається в складі пропозиції. В іншому випадку надати лист-пояснення.</w:t>
            </w:r>
          </w:p>
        </w:tc>
      </w:tr>
    </w:tbl>
    <w:p w14:paraId="3B7346A2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50698ACB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Взірець</w:t>
      </w:r>
    </w:p>
    <w:p w14:paraId="7BFE74B2" w14:textId="77777777" w:rsidR="00D13E20" w:rsidRPr="00CA3748" w:rsidRDefault="00D13E20" w:rsidP="00D13E2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6BCFC088" w14:textId="77777777" w:rsidR="00D13E20" w:rsidRPr="00CA3748" w:rsidRDefault="00D13E20" w:rsidP="00D13E20">
      <w:pPr>
        <w:tabs>
          <w:tab w:val="left" w:pos="3345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b/>
          <w:sz w:val="24"/>
          <w:szCs w:val="24"/>
          <w:lang w:val="uk-UA"/>
        </w:rPr>
        <w:t>Лист - згода на обробку персональних даних</w:t>
      </w:r>
    </w:p>
    <w:p w14:paraId="1C1A0297" w14:textId="77777777" w:rsidR="00D13E20" w:rsidRPr="00CA3748" w:rsidRDefault="00D13E20" w:rsidP="00D13E20">
      <w:pPr>
        <w:tabs>
          <w:tab w:val="left" w:pos="334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CE224F6" w14:textId="77777777" w:rsidR="00D13E20" w:rsidRPr="00CA3748" w:rsidRDefault="00D13E20" w:rsidP="00D13E2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sz w:val="24"/>
          <w:szCs w:val="24"/>
          <w:lang w:val="uk-UA"/>
        </w:rPr>
        <w:tab/>
        <w:t xml:space="preserve">Відповідно до Закону «Про захист персональних даних» від 01.06.10 № 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CA3748">
        <w:rPr>
          <w:rFonts w:ascii="Times New Roman" w:eastAsia="Times New Roman" w:hAnsi="Times New Roman"/>
          <w:sz w:val="24"/>
          <w:szCs w:val="24"/>
          <w:lang w:val="uk-UA"/>
        </w:rPr>
        <w:t>т.ч</w:t>
      </w:r>
      <w:proofErr w:type="spellEnd"/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</w:t>
      </w:r>
      <w:r w:rsidRPr="00CA3748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спрощеній </w:t>
      </w:r>
      <w:r w:rsidRPr="00CA3748">
        <w:rPr>
          <w:rFonts w:ascii="Times New Roman" w:eastAsia="Times New Roman" w:hAnsi="Times New Roman"/>
          <w:sz w:val="24"/>
          <w:szCs w:val="24"/>
          <w:lang w:val="uk-UA"/>
        </w:rPr>
        <w:t xml:space="preserve">закупівлі, цивільно-правових та господарських відносин.  </w:t>
      </w:r>
    </w:p>
    <w:p w14:paraId="7AB0BD7E" w14:textId="77777777" w:rsidR="00D13E20" w:rsidRPr="00CA3748" w:rsidRDefault="00D13E20" w:rsidP="00D13E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627997" w14:textId="77777777" w:rsidR="00D13E20" w:rsidRPr="00CA3748" w:rsidRDefault="00D13E20" w:rsidP="00D13E20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val="uk-UA"/>
        </w:rPr>
      </w:pPr>
      <w:r w:rsidRPr="00CA3748">
        <w:rPr>
          <w:rFonts w:ascii="Times New Roman" w:eastAsia="Times New Roman" w:hAnsi="Times New Roman"/>
          <w:i/>
          <w:sz w:val="24"/>
          <w:szCs w:val="24"/>
          <w:lang w:val="uk-UA"/>
        </w:rPr>
        <w:t>Посада, прізвище, ініціали, підпис уповноваженої особи Учасника, завірені печаткою.</w:t>
      </w:r>
    </w:p>
    <w:p w14:paraId="01DF8893" w14:textId="77777777" w:rsidR="00D13E20" w:rsidRPr="00CA3748" w:rsidRDefault="00D13E20" w:rsidP="00D13E20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</w:p>
    <w:p w14:paraId="7787266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6D8FD56" w14:textId="77777777" w:rsidR="00D13E20" w:rsidRPr="00CA3748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14:paraId="1D7B9467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Інформація про відсутність підстав, визначених у 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28F8E3D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6F48D62A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u w:val="single"/>
          <w:lang w:val="uk-UA"/>
        </w:rPr>
        <w:t xml:space="preserve">Інформація про відсутність підстав, визначених у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пункті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підтверджується учасником шляхом самостійного декларування відсутності таких підстав в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lastRenderedPageBreak/>
        <w:t xml:space="preserve">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під час подання тендерної пропозиції, а саме 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шляхом заповнення окремих електронних полів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(проставлення «галочки»).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</w:t>
      </w:r>
    </w:p>
    <w:p w14:paraId="584CF228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1.1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У разі відсутності технічної можливості в електронній системі </w:t>
      </w:r>
      <w:proofErr w:type="spellStart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самостійно декларувати відсутність підстави, визначеної у абзаці 14 пункту 4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Особливостей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, така інформація підтверджується учасником шляхом надання у складі тендерної пропозиції:</w:t>
      </w:r>
    </w:p>
    <w:p w14:paraId="1AF2CDC3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- інформації 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(довідки довільної форми) про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відсутність фактів не виконання своїх зобов’язань за раніше укладеним договором про закупівлю з Замовником, що призвело до його дострокового розірвання, і застосування санкції у вигляді штрафів та/або відшкодування збитків - протягом трьох років з дати дострокового розірвання такого договору.</w:t>
      </w:r>
    </w:p>
    <w:p w14:paraId="6FCC7486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або</w:t>
      </w:r>
    </w:p>
    <w:p w14:paraId="119F2BD9" w14:textId="77777777" w:rsidR="00D13E20" w:rsidRPr="00E13A8D" w:rsidRDefault="00D13E20" w:rsidP="00D13E20">
      <w:pPr>
        <w:shd w:val="clear" w:color="auto" w:fill="FFFFFF" w:themeFill="background1"/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- документального підтвердження вжиття заходів для доведення своєї надійності, незважаючи на наявність зазначеної підстави для відмови в участі у процедурі закупівлі, а саме</w:t>
      </w:r>
      <w:r w:rsidRPr="00E24D41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: документів, які підтверджують, що він сплатив або зобов’язався сплатити відповідні зобов’язання та відшкодування завданих збитків.</w:t>
      </w:r>
    </w:p>
    <w:p w14:paraId="2261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2.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У разі коли учасник процедури закупівлі має намір залучити інших суб’єктів господарювання як субпідрядників/співвиконавців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5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частини третьої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статті 16 Закону (у разі застосування таких критеріїв до учасника процедури закупівлі), замовник перевіряє таких суб’єктів господарювання на відсутність підстав, визначених цим пунктом.</w:t>
      </w:r>
    </w:p>
    <w:p w14:paraId="1F9BF737" w14:textId="77777777" w:rsidR="00D13E20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Замовник не вимагає від учасника під час подання тендерної пропозиції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будь-яких документів, що підтверджують відсутність підстав, визначених в абзаці першому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крім самостійного декларування відсутності таких підстав учасником процедури закупівлі відповідно до абзацу четвертого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Особливостей.</w:t>
      </w:r>
    </w:p>
    <w:p w14:paraId="3D67CEA0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60FB2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У разі участі об’єднання учасників підтвердження відсутності підстав, визначених в пункті 47 Особливостей, здійснюється щодо кожного такого учасника шляхом подання довідки у довільній формі від кожного учасника об’єднання про відсутність підстав, визначених у пункті 47 Особливостей.</w:t>
      </w:r>
    </w:p>
    <w:p w14:paraId="526E9B34" w14:textId="77777777" w:rsidR="00D13E20" w:rsidRPr="00E13A8D" w:rsidRDefault="00D13E20" w:rsidP="00D13E20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</w:p>
    <w:p w14:paraId="7844F3E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Перелік документів для переможця процедури </w:t>
      </w:r>
      <w:proofErr w:type="spellStart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, що надаються для підтвердження відсутності підстав визначених пунктом 4</w:t>
      </w:r>
      <w:r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hAnsi="Times New Roman"/>
          <w:b/>
          <w:i/>
          <w:color w:val="000000" w:themeColor="text1"/>
          <w:sz w:val="24"/>
          <w:szCs w:val="24"/>
          <w:lang w:val="uk-UA"/>
        </w:rPr>
        <w:t xml:space="preserve"> Особливостей, а також документи що надаються для укладання договору*</w:t>
      </w:r>
    </w:p>
    <w:p w14:paraId="084CDE5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1.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Переможець процедури закупівлі у строк, що не перевищує чотири дні з дати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повідомлення про намір укласти договір про закупівлю, повинен надати замовнику шляхом оприлюднення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документи, що підтверджують відсутність підстав, зазначених 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6" w:anchor="n40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підпунктах 3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7" w:anchor="n403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5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8" w:anchor="n404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6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9" w:anchor="n410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12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та в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0" w:anchor="n411" w:history="1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абзаці чотирнадцятому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особливостей. Замовник не вимагає документального підтвердження публічної інформації, що оприлюднена у формі відкритих даних згідно із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hyperlink r:id="rId11" w:tgtFrame="_blank">
        <w:r w:rsidRPr="00E13A8D">
          <w:rPr>
            <w:rFonts w:ascii="Times New Roman" w:eastAsia="Times New Roman" w:hAnsi="Times New Roman"/>
            <w:color w:val="000000" w:themeColor="text1"/>
            <w:sz w:val="24"/>
            <w:szCs w:val="24"/>
            <w:u w:val="single"/>
            <w:lang w:val="uk-UA" w:eastAsia="uk-UA"/>
          </w:rPr>
          <w:t>Законом України</w:t>
        </w:r>
      </w:hyperlink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eastAsia="uk-UA"/>
        </w:rPr>
        <w:t> 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“Про доступ до публічної інформації” та/або міститься у відкритих публічних електронних реєстрах, доступ до яких є вільним, або публічної інформації, що є доступною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, крім випадків, коли доступ до такої інформації є обмеженим на момент оприлюднення оголошення про проведення відкритих торгів.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p w14:paraId="07FACD7C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Документи, що підтверджують відсутність підстав, установлених пунктом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Особливостей:</w:t>
      </w:r>
    </w:p>
    <w:tbl>
      <w:tblPr>
        <w:tblW w:w="5000" w:type="pct"/>
        <w:tblInd w:w="-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9222"/>
      </w:tblGrid>
      <w:tr w:rsidR="00D13E20" w:rsidRPr="00596F83" w14:paraId="0D1572F1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B6A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1361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відомості про юридичну особу, яка є учасником процедури закупівлі, не </w:t>
            </w:r>
            <w:proofErr w:type="spellStart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внесено</w:t>
            </w:r>
            <w:proofErr w:type="spellEnd"/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до Єдиного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державного реєстру осіб, які вчинили корупційні або пов’язані з корупцією правопорушення</w:t>
            </w: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.</w:t>
            </w:r>
          </w:p>
        </w:tc>
      </w:tr>
      <w:tr w:rsidR="00D13E20" w:rsidRPr="00596F83" w14:paraId="50CAA0A0" w14:textId="77777777" w:rsidTr="006B7A23">
        <w:trPr>
          <w:trHeight w:val="117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45D2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A97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На момент оприлюднення оголошення про проведення відкритих торгів доступ до Єдиного державного реєстру осіб, які вчинили корупційні або пов’язані з корупцією правопорушення, є обмеженим, тому відповідно до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переможець процедури закупівлі має надати документ, що підтверджує відсутність підстави, передбаченої підпунктом 3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особливостей, -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інформаційну довідку/витяг з Єдиного державного реєстру осіб, які вчинили корупційні або пов’язані з корупцією правопорушення,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що містить інформацію про те, що</w:t>
            </w:r>
            <w:r w:rsidRPr="006F02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керівника учасника процедури закупівлі, фізичну особу, яка є учасником процедури закупівлі, не було притягнуто згідно із законом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D13E20" w:rsidRPr="00720986" w14:paraId="757072E7" w14:textId="77777777" w:rsidTr="006B7A23">
        <w:trPr>
          <w:trHeight w:val="43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F7F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758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Документ, що підтверджує відсутність підстав, визначених у підпунктах 5, 6 і 12 пункту 4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Особливостей - </w:t>
            </w:r>
            <w:r w:rsidRPr="00E13A8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val="uk-UA" w:eastAsia="uk-UA"/>
              </w:rPr>
              <w:t>витяг з інформаційно-аналітичної системи «Облік відомостей про притягнення особи до кримінальної відповідальності та наявності судимості»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, сформований у паперовій або електронній формі, що містить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інформацію про те, що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керівник учасника процедури закупівлі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не </w:t>
            </w:r>
            <w:r w:rsidRPr="0045116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640E610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Отримати витяг можна на офіційному сайті МВС за посиланням </w:t>
            </w:r>
            <w:hyperlink r:id="rId12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https://vytiah.mvs.gov.ua/app/landing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  <w:p w14:paraId="16AC922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Замовник може перевірити витяг на офіційному сайті МВС за посиланням </w:t>
            </w:r>
            <w:hyperlink r:id="rId13">
              <w:r w:rsidRPr="00E13A8D">
                <w:rPr>
                  <w:rFonts w:ascii="Times New Roman" w:eastAsia="Times New Roman" w:hAnsi="Times New Roman"/>
                  <w:color w:val="000000" w:themeColor="text1"/>
                  <w:sz w:val="24"/>
                  <w:szCs w:val="24"/>
                  <w:lang w:val="uk-UA" w:eastAsia="uk-UA"/>
                </w:rPr>
                <w:t>https://vytiah.mvs.gov.ua/app/checkStatus</w:t>
              </w:r>
            </w:hyperlink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.</w:t>
            </w:r>
          </w:p>
        </w:tc>
      </w:tr>
      <w:tr w:rsidR="00D13E20" w:rsidRPr="00596F83" w14:paraId="37E12BB9" w14:textId="77777777" w:rsidTr="006B7A23">
        <w:trPr>
          <w:trHeight w:val="859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0EB6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53A0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Довідка довільної форми про відсутність фактів не виконання своїх зобов’язань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14:paraId="6C8F1689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>або</w:t>
            </w:r>
          </w:p>
          <w:p w14:paraId="486077CF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ind w:left="142" w:right="10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документальне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а саме: </w:t>
            </w:r>
            <w:r w:rsidRPr="00E13A8D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  <w:t xml:space="preserve">документи, які підтверджують, що переможець сплатив або зобов’язався сплатити відповідні зобов’язання та відшкодування завданих збитків </w:t>
            </w:r>
            <w:r w:rsidRPr="00E13A8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bookmarkStart w:id="0" w:name="_Hlk5737775"/>
            <w:bookmarkEnd w:id="0"/>
          </w:p>
        </w:tc>
      </w:tr>
    </w:tbl>
    <w:p w14:paraId="545724C8" w14:textId="77777777" w:rsidR="00D13E20" w:rsidRPr="00293705" w:rsidRDefault="00D13E20" w:rsidP="00D13E20">
      <w:pPr>
        <w:pStyle w:val="a3"/>
        <w:shd w:val="clear" w:color="auto" w:fill="FFFFFF" w:themeFill="background1"/>
        <w:ind w:left="0"/>
        <w:jc w:val="both"/>
        <w:rPr>
          <w:rFonts w:ascii="Times New Roman" w:hAnsi="Times New Roman" w:cs="Times New Roman"/>
          <w:i/>
          <w:color w:val="000000" w:themeColor="text1"/>
          <w:lang w:val="uk-UA"/>
        </w:rPr>
      </w:pPr>
      <w:r w:rsidRPr="00293705">
        <w:rPr>
          <w:rFonts w:ascii="Times New Roman" w:hAnsi="Times New Roman" w:cs="Times New Roman"/>
          <w:i/>
          <w:color w:val="000000" w:themeColor="text1"/>
          <w:lang w:val="uk-UA"/>
        </w:rPr>
        <w:t>Для об’єднання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об’єднання установленим кваліфікаційним критеріям та підставам, визначеним пунктом 47 особливостей.</w:t>
      </w:r>
    </w:p>
    <w:p w14:paraId="2E2AFEE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</w:pPr>
      <w:r w:rsidRPr="0029370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uk-UA"/>
        </w:rPr>
        <w:t>Зразок довідки на підтвердження відсутності підстав, визначених в абзаці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42827DA6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 xml:space="preserve">Уповноваженій особі </w:t>
      </w:r>
    </w:p>
    <w:p w14:paraId="231B21F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___________________</w:t>
      </w:r>
    </w:p>
    <w:p w14:paraId="62F2162E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7C49D7AC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ДОВІДКА</w:t>
      </w:r>
    </w:p>
    <w:p w14:paraId="37E3D014" w14:textId="77777777" w:rsidR="00D13E20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про відсутність підстав, визначених в абзаці чотирнадцятому пункту 4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особливостей</w:t>
      </w:r>
    </w:p>
    <w:p w14:paraId="39B26D00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</w:pPr>
    </w:p>
    <w:p w14:paraId="0D0C7BC2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Ми,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>найменування Учасника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val="uk-UA"/>
        </w:rPr>
        <w:t>/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(далі - Учасник), в особі </w:t>
      </w: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val="uk-UA"/>
        </w:rPr>
        <w:t xml:space="preserve">/Уповноважена особа учасника / 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підтверджуємо, що Замовник не має підстав для відмови нам в участі у процедурі закупівлі,  передбачених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вабзаці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чотирнадцятому пункту 4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7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особливостей, а саме підтверджуємо відсутність фактів невиконання</w:t>
      </w: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своїх зобов’язань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</w:t>
      </w:r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 xml:space="preserve"> в електронній системі </w:t>
      </w:r>
      <w:proofErr w:type="spellStart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закупівель</w:t>
      </w:r>
      <w:proofErr w:type="spellEnd"/>
      <w:r w:rsidRPr="00E13A8D"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  <w:t>.</w:t>
      </w:r>
    </w:p>
    <w:p w14:paraId="32F48463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/>
        </w:rPr>
      </w:pPr>
      <w:r w:rsidRPr="00E13A8D">
        <w:rPr>
          <w:rFonts w:ascii="Times New Roman" w:hAnsi="Times New Roman"/>
          <w:color w:val="000000" w:themeColor="text1"/>
          <w:sz w:val="24"/>
          <w:szCs w:val="24"/>
          <w:lang w:val="uk-UA"/>
        </w:rPr>
        <w:lastRenderedPageBreak/>
        <w:t>Підтверджуємо своє право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закупівлі, та довести сплату або зобов’язався сплатити відповідні зобов’язання та відшкодування завданих збитків*.</w:t>
      </w:r>
    </w:p>
    <w:p w14:paraId="6987ABAB" w14:textId="77777777" w:rsidR="00D13E20" w:rsidRPr="00E13A8D" w:rsidRDefault="00D13E20" w:rsidP="00D13E20">
      <w:pPr>
        <w:shd w:val="clear" w:color="auto" w:fill="FFFFFF" w:themeFill="background1"/>
        <w:spacing w:after="0" w:line="240" w:lineRule="auto"/>
        <w:ind w:firstLine="450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tbl>
      <w:tblPr>
        <w:tblW w:w="10024" w:type="dxa"/>
        <w:tblInd w:w="-115" w:type="dxa"/>
        <w:tblLook w:val="0400" w:firstRow="0" w:lastRow="0" w:firstColumn="0" w:lastColumn="0" w:noHBand="0" w:noVBand="1"/>
      </w:tblPr>
      <w:tblGrid>
        <w:gridCol w:w="3342"/>
        <w:gridCol w:w="3341"/>
        <w:gridCol w:w="3341"/>
      </w:tblGrid>
      <w:tr w:rsidR="00D13E20" w:rsidRPr="00E13A8D" w14:paraId="43B1419F" w14:textId="77777777" w:rsidTr="006B7A23">
        <w:tc>
          <w:tcPr>
            <w:tcW w:w="3342" w:type="dxa"/>
          </w:tcPr>
          <w:p w14:paraId="14D1B9EE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4CD6AE23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  <w:tc>
          <w:tcPr>
            <w:tcW w:w="3341" w:type="dxa"/>
          </w:tcPr>
          <w:p w14:paraId="62E343EA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________________________</w:t>
            </w:r>
          </w:p>
        </w:tc>
      </w:tr>
      <w:tr w:rsidR="00D13E20" w:rsidRPr="00E13A8D" w14:paraId="2146F0C2" w14:textId="77777777" w:rsidTr="006B7A23">
        <w:tc>
          <w:tcPr>
            <w:tcW w:w="3342" w:type="dxa"/>
          </w:tcPr>
          <w:p w14:paraId="022F53E5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посада уповноваженої особи Учасника</w:t>
            </w:r>
          </w:p>
        </w:tc>
        <w:tc>
          <w:tcPr>
            <w:tcW w:w="3341" w:type="dxa"/>
          </w:tcPr>
          <w:p w14:paraId="6CB23794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підпис та печатка (за наявності)</w:t>
            </w:r>
          </w:p>
        </w:tc>
        <w:tc>
          <w:tcPr>
            <w:tcW w:w="3341" w:type="dxa"/>
          </w:tcPr>
          <w:p w14:paraId="0C0B1C3C" w14:textId="77777777" w:rsidR="00D13E20" w:rsidRPr="00E13A8D" w:rsidRDefault="00D13E20" w:rsidP="006B7A2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E13A8D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uk-UA"/>
              </w:rPr>
              <w:t>прізвище, ініціали</w:t>
            </w:r>
          </w:p>
        </w:tc>
      </w:tr>
    </w:tbl>
    <w:p w14:paraId="398EF67A" w14:textId="77777777" w:rsidR="00D13E20" w:rsidRPr="00E13A8D" w:rsidRDefault="00D13E20" w:rsidP="00D13E20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</w:pPr>
    </w:p>
    <w:p w14:paraId="71793CC6" w14:textId="6F5A8486" w:rsidR="00756470" w:rsidRPr="00D13E20" w:rsidRDefault="00D13E20" w:rsidP="00D13E20">
      <w:pPr>
        <w:shd w:val="clear" w:color="auto" w:fill="FFFFFF" w:themeFill="background1"/>
        <w:spacing w:after="0" w:line="240" w:lineRule="auto"/>
        <w:jc w:val="both"/>
        <w:rPr>
          <w:color w:val="000000" w:themeColor="text1"/>
          <w:lang w:val="uk-UA"/>
        </w:rPr>
      </w:pPr>
      <w:r w:rsidRPr="00E13A8D">
        <w:rPr>
          <w:rFonts w:ascii="Times New Roman" w:eastAsia="Times New Roman" w:hAnsi="Times New Roman"/>
          <w:i/>
          <w:color w:val="000000" w:themeColor="text1"/>
          <w:sz w:val="24"/>
          <w:szCs w:val="24"/>
          <w:lang w:val="uk-UA"/>
        </w:rPr>
        <w:t>*У разі наявності відповідної підстави для відмови Учасником надається документальне підтвердження вжиття заходів для доведення своєї надійності, а саме: документи, які підтверджують, що він сплатив або зобов’язався сплатити відповідні зобов’язання та відшкодування завданих збитків</w:t>
      </w:r>
      <w:r w:rsidRPr="00E13A8D">
        <w:rPr>
          <w:rFonts w:ascii="Times New Roman" w:eastAsia="Times New Roman" w:hAnsi="Times New Roman"/>
          <w:b/>
          <w:color w:val="000000" w:themeColor="text1"/>
          <w:sz w:val="24"/>
          <w:szCs w:val="24"/>
          <w:lang w:val="uk-UA"/>
        </w:rPr>
        <w:t xml:space="preserve"> </w:t>
      </w:r>
    </w:p>
    <w:sectPr w:rsidR="00756470" w:rsidRPr="00D13E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25B3"/>
    <w:multiLevelType w:val="hybridMultilevel"/>
    <w:tmpl w:val="EC449744"/>
    <w:lvl w:ilvl="0" w:tplc="A50A0438">
      <w:start w:val="1"/>
      <w:numFmt w:val="bullet"/>
      <w:lvlText w:val="-"/>
      <w:lvlJc w:val="left"/>
      <w:pPr>
        <w:ind w:left="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1A492E2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1B04ED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2CA34C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8FF36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CCC66C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D0CB02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985A16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8EA34A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60106A"/>
    <w:multiLevelType w:val="multilevel"/>
    <w:tmpl w:val="B0229B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C05947"/>
    <w:multiLevelType w:val="hybridMultilevel"/>
    <w:tmpl w:val="9CBEBE08"/>
    <w:lvl w:ilvl="0" w:tplc="C926386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47E04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7A49348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CFA9580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68CC252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02DDF6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784C71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C099F0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D8EE38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32C3FF3"/>
    <w:multiLevelType w:val="hybridMultilevel"/>
    <w:tmpl w:val="28E8DA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314657"/>
    <w:multiLevelType w:val="hybridMultilevel"/>
    <w:tmpl w:val="22D22474"/>
    <w:lvl w:ilvl="0" w:tplc="037C2E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9537A"/>
    <w:multiLevelType w:val="multilevel"/>
    <w:tmpl w:val="50ECC2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F25D66"/>
    <w:multiLevelType w:val="hybridMultilevel"/>
    <w:tmpl w:val="EFDC5C92"/>
    <w:lvl w:ilvl="0" w:tplc="4086C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E557C7"/>
    <w:multiLevelType w:val="hybridMultilevel"/>
    <w:tmpl w:val="4950EC76"/>
    <w:lvl w:ilvl="0" w:tplc="214253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8AD42E">
      <w:start w:val="1"/>
      <w:numFmt w:val="bullet"/>
      <w:lvlText w:val="o"/>
      <w:lvlJc w:val="left"/>
      <w:pPr>
        <w:ind w:left="1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6589D72">
      <w:start w:val="1"/>
      <w:numFmt w:val="bullet"/>
      <w:lvlText w:val="▪"/>
      <w:lvlJc w:val="left"/>
      <w:pPr>
        <w:ind w:left="2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B9CF2E4">
      <w:start w:val="1"/>
      <w:numFmt w:val="bullet"/>
      <w:lvlText w:val="•"/>
      <w:lvlJc w:val="left"/>
      <w:pPr>
        <w:ind w:left="2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C09C48">
      <w:start w:val="1"/>
      <w:numFmt w:val="bullet"/>
      <w:lvlText w:val="o"/>
      <w:lvlJc w:val="left"/>
      <w:pPr>
        <w:ind w:left="3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53E3B18">
      <w:start w:val="1"/>
      <w:numFmt w:val="bullet"/>
      <w:lvlText w:val="▪"/>
      <w:lvlJc w:val="left"/>
      <w:pPr>
        <w:ind w:left="4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038E076">
      <w:start w:val="1"/>
      <w:numFmt w:val="bullet"/>
      <w:lvlText w:val="•"/>
      <w:lvlJc w:val="left"/>
      <w:pPr>
        <w:ind w:left="5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28EC08">
      <w:start w:val="1"/>
      <w:numFmt w:val="bullet"/>
      <w:lvlText w:val="o"/>
      <w:lvlJc w:val="left"/>
      <w:pPr>
        <w:ind w:left="5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A0A5DC">
      <w:start w:val="1"/>
      <w:numFmt w:val="bullet"/>
      <w:lvlText w:val="▪"/>
      <w:lvlJc w:val="left"/>
      <w:pPr>
        <w:ind w:left="6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2F"/>
    <w:rsid w:val="001C2A2F"/>
    <w:rsid w:val="00333B3F"/>
    <w:rsid w:val="003A57ED"/>
    <w:rsid w:val="004A0DF3"/>
    <w:rsid w:val="005272C4"/>
    <w:rsid w:val="00596F83"/>
    <w:rsid w:val="0072701F"/>
    <w:rsid w:val="00756470"/>
    <w:rsid w:val="007E6B7B"/>
    <w:rsid w:val="00884289"/>
    <w:rsid w:val="00BD6762"/>
    <w:rsid w:val="00D13191"/>
    <w:rsid w:val="00D13E20"/>
    <w:rsid w:val="00D27C2F"/>
    <w:rsid w:val="00E028F2"/>
    <w:rsid w:val="00E52683"/>
    <w:rsid w:val="00F35E37"/>
    <w:rsid w:val="00F4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AEEB"/>
  <w15:chartTrackingRefBased/>
  <w15:docId w15:val="{CF26F221-6631-47C7-A6A1-57271557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Arial"/>
        <w:color w:val="000000"/>
        <w:sz w:val="24"/>
        <w:szCs w:val="21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E20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Elenco Normale,List Paragraph,Список уровня 2,название табл/рис,Chapter10,Абзац списку 1,тв-Абзац списка,заголовок 1.1,List Paragraph (numbered (a)),List_Paragraph,Multilevel para_II,List Paragraph-ExecSummary,Akapit z listą BS,Bullets,lp1"/>
    <w:basedOn w:val="a"/>
    <w:link w:val="a4"/>
    <w:uiPriority w:val="34"/>
    <w:qFormat/>
    <w:rsid w:val="00D13E20"/>
    <w:pPr>
      <w:ind w:left="720"/>
      <w:contextualSpacing/>
    </w:pPr>
  </w:style>
  <w:style w:type="character" w:customStyle="1" w:styleId="a4">
    <w:name w:val="Абзац списку Знак"/>
    <w:aliases w:val="Elenco Normale Знак,List Paragraph Знак,Список уровня 2 Знак,название табл/рис Знак,Chapter10 Знак,Абзац списку 1 Знак,тв-Абзац списка Знак,заголовок 1.1 Знак,List Paragraph (numbered (a)) Знак,List_Paragraph Знак,Bullets Знак,lp1 Знак"/>
    <w:link w:val="a3"/>
    <w:uiPriority w:val="34"/>
    <w:qFormat/>
    <w:locked/>
    <w:rsid w:val="00D13E20"/>
    <w:rPr>
      <w:rFonts w:asciiTheme="minorHAnsi" w:hAnsiTheme="minorHAnsi" w:cstheme="minorBidi"/>
      <w:color w:val="auto"/>
      <w:sz w:val="22"/>
      <w:szCs w:val="22"/>
      <w:lang w:val="ru-RU"/>
    </w:rPr>
  </w:style>
  <w:style w:type="character" w:customStyle="1" w:styleId="a5">
    <w:name w:val="Без інтервалів Знак"/>
    <w:link w:val="a6"/>
    <w:locked/>
    <w:rsid w:val="00D13E20"/>
    <w:rPr>
      <w:rFonts w:eastAsia="SimSun" w:cs="Times New Roman"/>
    </w:rPr>
  </w:style>
  <w:style w:type="paragraph" w:styleId="a6">
    <w:name w:val="No Spacing"/>
    <w:link w:val="a5"/>
    <w:qFormat/>
    <w:rsid w:val="00D13E20"/>
    <w:pPr>
      <w:spacing w:after="0" w:line="240" w:lineRule="auto"/>
    </w:pPr>
    <w:rPr>
      <w:rFonts w:eastAsia="SimSu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272C4"/>
    <w:pPr>
      <w:spacing w:after="0" w:line="240" w:lineRule="auto"/>
      <w:ind w:left="7685" w:right="1" w:hanging="10"/>
      <w:jc w:val="both"/>
    </w:pPr>
    <w:rPr>
      <w:rFonts w:ascii="Segoe UI" w:eastAsia="Times New Roman" w:hAnsi="Segoe UI" w:cs="Segoe UI"/>
      <w:color w:val="000000"/>
      <w:sz w:val="18"/>
      <w:szCs w:val="18"/>
      <w:lang w:val="uk-UA" w:eastAsia="uk-UA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272C4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178-2022-&#1087;/print" TargetMode="External"/><Relationship Id="rId13" Type="http://schemas.openxmlformats.org/officeDocument/2006/relationships/hyperlink" Target="https://vytiah.mvs.gov.ua/app/checkStat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178-2022-&#1087;/print" TargetMode="External"/><Relationship Id="rId12" Type="http://schemas.openxmlformats.org/officeDocument/2006/relationships/hyperlink" Target="https://vytiah.mvs.gov.ua/app/land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178-2022-&#1087;/print" TargetMode="External"/><Relationship Id="rId11" Type="http://schemas.openxmlformats.org/officeDocument/2006/relationships/hyperlink" Target="https://zakon.rada.gov.ua/laws/show/2939-17" TargetMode="External"/><Relationship Id="rId5" Type="http://schemas.openxmlformats.org/officeDocument/2006/relationships/hyperlink" Target="_blan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1178-2022-&#1087;/pr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1178-2022-&#1087;/prin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13070</Words>
  <Characters>7450</Characters>
  <Application>Microsoft Office Word</Application>
  <DocSecurity>0</DocSecurity>
  <Lines>62</Lines>
  <Paragraphs>40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2023-11-20T11:59:00Z</dcterms:created>
  <dcterms:modified xsi:type="dcterms:W3CDTF">2024-02-05T11:52:00Z</dcterms:modified>
</cp:coreProperties>
</file>