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ДОДАТОК 1</w:t>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w:t>
      </w:r>
    </w:p>
    <w:p>
      <w:pPr>
        <w:pStyle w:val="Normal"/>
        <w:numPr>
          <w:ilvl w:val="0"/>
          <w:numId w:val="6"/>
        </w:numPr>
        <w:shd w:val="clear" w:color="auto" w:fill="FFFFFF"/>
        <w:spacing w:lineRule="auto" w:line="240" w:before="0" w:after="0"/>
        <w:ind w:left="502" w:hanging="36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sz w:val="20"/>
          <w:szCs w:val="20"/>
          <w:lang w:val="uk-UA"/>
        </w:rPr>
      </w:pPr>
      <w:r>
        <w:rPr>
          <w:rFonts w:eastAsia="Times New Roman" w:cs="Times New Roman" w:ascii="Times New Roman" w:hAnsi="Times New Roman"/>
          <w:b/>
          <w:i/>
          <w:sz w:val="20"/>
          <w:szCs w:val="20"/>
          <w:lang w:val="uk-UA"/>
        </w:rPr>
      </w:r>
    </w:p>
    <w:p>
      <w:pPr>
        <w:pStyle w:val="Normal"/>
        <w:spacing w:lineRule="auto" w:line="240" w:before="0" w:after="0"/>
        <w:ind w:left="885"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bl>
      <w:tblPr>
        <w:tblStyle w:val="af0"/>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Документи та інформація, які підтверджують відповідність Учасника кваліфікаційним критеріям**</w:t>
            </w:r>
          </w:p>
        </w:tc>
      </w:tr>
      <w:tr>
        <w:trPr>
          <w:trHeight w:val="28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обладнання, матеріально-технічної бази та технологій*</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120" w:after="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i/>
                <w:sz w:val="20"/>
                <w:szCs w:val="20"/>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або</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lang w:val="uk-UA"/>
        </w:rPr>
      </w:pPr>
      <w:r>
        <w:rPr>
          <w:rFonts w:eastAsia="Times New Roman" w:cs="Times New Roman" w:ascii="Times New Roman" w:hAnsi="Times New Roman"/>
          <w:b/>
          <w:sz w:val="20"/>
          <w:szCs w:val="20"/>
          <w:lang w:val="uk-UA"/>
        </w:rPr>
        <w:t xml:space="preserve">2. Підтвердження відповідності УЧАСНИКА </w:t>
      </w:r>
      <w:r>
        <w:rPr>
          <w:rFonts w:eastAsia="Times New Roman" w:cs="Times New Roman" w:ascii="Times New Roman" w:hAnsi="Times New Roman"/>
          <w:lang w:val="uk-UA"/>
        </w:rPr>
        <w:t>(в тому числі для об’єднання учасників як учасника процедури)  вимогам, визначеним у пункті 47 Особливостей.</w:t>
      </w:r>
    </w:p>
    <w:p>
      <w:pPr>
        <w:pStyle w:val="Normal"/>
        <w:spacing w:lineRule="auto" w:line="240" w:before="0" w:after="0"/>
        <w:ind w:firstLine="567"/>
        <w:jc w:val="both"/>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lang w:val="uk-UA"/>
        </w:rPr>
        <w:t>шляхом самостійного декларування відсутності таких підстав</w:t>
      </w:r>
      <w:r>
        <w:rPr>
          <w:rFonts w:eastAsia="Times New Roman" w:cs="Times New Roman" w:ascii="Times New Roman" w:hAnsi="Times New Roman"/>
          <w:sz w:val="20"/>
          <w:szCs w:val="20"/>
          <w:lang w:val="uk-UA"/>
        </w:rPr>
        <w:t xml:space="preserve"> в електронній системі закупівель під час подання тендерної пропозиції.</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0"/>
          <w:szCs w:val="20"/>
          <w:lang w:val="uk-UA"/>
        </w:rPr>
        <w:t>(у разі застосування таких критеріїв до учасника процедури закупівлі)</w:t>
      </w:r>
      <w:r>
        <w:rPr>
          <w:rFonts w:eastAsia="Times New Roman" w:cs="Times New Roman" w:ascii="Times New Roman" w:hAnsi="Times New Roman"/>
          <w:sz w:val="20"/>
          <w:szCs w:val="20"/>
          <w:lang w:val="uk-UA"/>
        </w:rPr>
        <w:t>,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pBdr/>
        <w:spacing w:lineRule="auto" w:line="240" w:before="0" w:after="0"/>
        <w:jc w:val="both"/>
        <w:rPr>
          <w:rFonts w:ascii="Times New Roman" w:hAnsi="Times New Roman" w:eastAsia="Times New Roman" w:cs="Times New Roman"/>
          <w:b/>
          <w:b/>
          <w:lang w:val="uk-UA"/>
        </w:rPr>
      </w:pPr>
      <w:r>
        <w:rPr>
          <w:rFonts w:eastAsia="Times New Roman" w:cs="Times New Roman" w:ascii="Times New Roman" w:hAnsi="Times New Roman"/>
          <w:b/>
          <w:lang w:val="uk-UA"/>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pBdr/>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 </w:t>
      </w:r>
      <w:r>
        <w:rPr>
          <w:rFonts w:eastAsia="Times New Roman" w:cs="Times New Roman" w:ascii="Times New Roman" w:hAnsi="Times New Roman"/>
          <w:b/>
          <w:sz w:val="20"/>
          <w:szCs w:val="20"/>
          <w:lang w:val="uk-UA"/>
        </w:rPr>
        <w:t>3.1. Документи, які надаються  ПЕРЕМОЖЦЕМ (юридичною особою):</w:t>
      </w:r>
    </w:p>
    <w:tbl>
      <w:tblPr>
        <w:tblStyle w:val="af2"/>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504"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pBdr/>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3.2. Документи, які надаються ПЕРЕМОЖЦЕМ (фізичною особою чи фізичною особою — підприємцем):</w:t>
      </w:r>
    </w:p>
    <w:tbl>
      <w:tblPr>
        <w:tblStyle w:val="af3"/>
        <w:tblW w:w="981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796"/>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Вимоги </w:t>
            </w:r>
            <w:r>
              <w:rPr>
                <w:rFonts w:eastAsia="Times New Roman" w:cs="Times New Roman" w:ascii="Times New Roman" w:hAnsi="Times New Roman"/>
                <w:sz w:val="20"/>
                <w:szCs w:val="20"/>
                <w:lang w:val="uk-UA"/>
              </w:rPr>
              <w:t>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Переможець торгів на виконання вимоги </w:t>
            </w:r>
            <w:r>
              <w:rPr>
                <w:rFonts w:eastAsia="Times New Roman" w:cs="Times New Roman" w:ascii="Times New Roman" w:hAnsi="Times New Roman"/>
                <w:sz w:val="20"/>
                <w:szCs w:val="20"/>
                <w:lang w:val="uk-UA"/>
              </w:rPr>
              <w:t>згідно пункту 47 Особливостей</w:t>
            </w:r>
            <w:r>
              <w:rPr>
                <w:rFonts w:eastAsia="Times New Roman" w:cs="Times New Roman" w:ascii="Times New Roman" w:hAnsi="Times New Roman"/>
                <w:b/>
                <w:sz w:val="20"/>
                <w:szCs w:val="20"/>
                <w:lang w:val="uk-UA"/>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w:t>
            </w:r>
            <w:bookmarkStart w:id="0" w:name="_GoBack"/>
            <w:bookmarkEnd w:id="0"/>
            <w:r>
              <w:rPr>
                <w:rFonts w:eastAsia="Times New Roman" w:cs="Times New Roman" w:ascii="Times New Roman" w:hAnsi="Times New Roman"/>
                <w:b/>
                <w:sz w:val="20"/>
                <w:szCs w:val="20"/>
                <w:lang w:val="uk-UA"/>
              </w:rPr>
              <w:t xml:space="preserve"> Особливостей)</w:t>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5 пункт 47 Особливостей)</w:t>
            </w:r>
          </w:p>
        </w:tc>
        <w:tc>
          <w:tcPr>
            <w:tcW w:w="479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796" w:type="dxa"/>
            <w:vMerge w:val="continue"/>
            <w:tcBorders>
              <w:top w:val="single" w:sz="8" w:space="0" w:color="000000"/>
              <w:left w:val="single" w:sz="8" w:space="0" w:color="000000"/>
              <w:right w:val="single" w:sz="8" w:space="0" w:color="000000"/>
            </w:tcBorders>
          </w:tcPr>
          <w:p>
            <w:pPr>
              <w:pStyle w:val="Normal"/>
              <w:widowControl w:val="false"/>
              <w:pBdr/>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9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pBdr/>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79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Достовірна інформація у вигляді довідки довільної форми, </w:t>
            </w:r>
            <w:r>
              <w:rPr>
                <w:rFonts w:eastAsia="Times New Roman" w:cs="Times New Roman" w:ascii="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2"/>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5"/>
              </w:numPr>
              <w:shd w:val="clear" w:color="auto" w:fill="FFFFFF"/>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AMUW2mVd9iNAqUBWcugUAQU5DuJcWXCN2qj7G/L3XT0zp+xziZi6uAQvTDIu5jBFAcXeGXsO10WpXO1ChTGpjli2a/7RkA59Q0QiSD0g7OAQ5MvHpRuE/VmV+SyCTx+KfWQXXQJ3ZKlo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LibreOffice/7.0.4.2$Windows_X86_64 LibreOffice_project/dcf040e67528d9187c66b2379df5ea4407429775</Application>
  <AppVersion>15.0000</AppVersion>
  <Pages>5</Pages>
  <Words>1840</Words>
  <Characters>12543</Characters>
  <CharactersWithSpaces>14313</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2024-02-19T15:02:47Z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