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60" w:firstLine="700"/>
        <w:jc w:val="right"/>
        <w:rPr>
          <w:lang w:val="ru-RU"/>
        </w:rPr>
      </w:pPr>
      <w:r>
        <w:rPr>
          <w:b/>
          <w:color w:val="000000"/>
          <w:lang w:val="ru-RU"/>
        </w:rPr>
        <w:t>ДОДАТОК 2</w:t>
      </w:r>
    </w:p>
    <w:p>
      <w:pPr>
        <w:pStyle w:val="Normal"/>
        <w:ind w:left="5660" w:firstLine="700"/>
        <w:jc w:val="right"/>
        <w:rPr>
          <w:lang w:val="ru-RU"/>
        </w:rPr>
      </w:pPr>
      <w:r>
        <w:rPr>
          <w:i/>
          <w:color w:val="000000"/>
        </w:rPr>
        <w:t>д</w:t>
      </w:r>
      <w:r>
        <w:rPr>
          <w:i/>
          <w:color w:val="000000"/>
          <w:lang w:val="ru-RU"/>
        </w:rPr>
        <w:t>о</w:t>
      </w:r>
      <w:r>
        <w:rPr>
          <w:i/>
          <w:color w:val="000000"/>
        </w:rPr>
        <w:t xml:space="preserve"> Т</w:t>
      </w:r>
      <w:r>
        <w:rPr>
          <w:i/>
          <w:color w:val="000000"/>
          <w:lang w:val="ru-RU"/>
        </w:rPr>
        <w:t>ендерної документації</w:t>
      </w:r>
    </w:p>
    <w:p>
      <w:pPr>
        <w:pStyle w:val="Normal"/>
        <w:tabs>
          <w:tab w:val="clear" w:pos="720"/>
          <w:tab w:val="left" w:pos="0" w:leader="none"/>
          <w:tab w:val="center" w:pos="9781" w:leader="none"/>
        </w:tabs>
        <w:spacing w:lineRule="auto" w:line="360"/>
        <w:ind w:firstLine="142"/>
        <w:jc w:val="center"/>
        <w:rPr>
          <w:b/>
          <w:b/>
          <w:bCs/>
          <w:sz w:val="22"/>
          <w:szCs w:val="22"/>
        </w:rPr>
      </w:pPr>
      <w:r>
        <w:rPr>
          <w:b/>
          <w:bCs/>
          <w:sz w:val="22"/>
          <w:szCs w:val="22"/>
        </w:rPr>
      </w:r>
    </w:p>
    <w:p>
      <w:pPr>
        <w:pStyle w:val="Normal"/>
        <w:tabs>
          <w:tab w:val="clear" w:pos="720"/>
          <w:tab w:val="left" w:pos="0" w:leader="none"/>
          <w:tab w:val="center" w:pos="9781" w:leader="none"/>
        </w:tabs>
        <w:spacing w:lineRule="atLeast" w:line="0"/>
        <w:ind w:firstLine="142"/>
        <w:jc w:val="center"/>
        <w:rPr>
          <w:b/>
          <w:b/>
          <w:bCs/>
          <w:sz w:val="22"/>
          <w:szCs w:val="22"/>
        </w:rPr>
      </w:pPr>
      <w:r>
        <w:rPr>
          <w:b/>
          <w:bCs/>
          <w:sz w:val="22"/>
          <w:szCs w:val="22"/>
        </w:rPr>
        <w:t>ТЕХНІЧНІ ВИМОГИ</w:t>
      </w:r>
    </w:p>
    <w:p>
      <w:pPr>
        <w:pStyle w:val="Normal"/>
        <w:ind w:left="284" w:hanging="0"/>
        <w:jc w:val="center"/>
        <w:rPr>
          <w:b/>
          <w:b/>
          <w:bCs/>
          <w:i/>
          <w:i/>
          <w:lang w:eastAsia="zh-CN"/>
        </w:rPr>
      </w:pPr>
      <w:r>
        <w:rPr>
          <w:b/>
          <w:bCs/>
          <w:i/>
          <w:lang w:eastAsia="zh-CN"/>
        </w:rPr>
        <w:t xml:space="preserve">«Овочі та фрукти свіжі» </w:t>
      </w:r>
    </w:p>
    <w:p>
      <w:pPr>
        <w:pStyle w:val="Normal"/>
        <w:tabs>
          <w:tab w:val="clear" w:pos="720"/>
          <w:tab w:val="left" w:pos="0" w:leader="none"/>
          <w:tab w:val="left" w:pos="567" w:leader="none"/>
          <w:tab w:val="left" w:pos="851" w:leader="none"/>
        </w:tabs>
        <w:spacing w:lineRule="atLeast" w:line="0"/>
        <w:jc w:val="center"/>
        <w:rPr>
          <w:rFonts w:eastAsia="Calibri"/>
          <w:b/>
          <w:b/>
          <w:i/>
          <w:i/>
          <w:iCs/>
          <w:color w:val="000000"/>
        </w:rPr>
      </w:pPr>
      <w:r>
        <w:rPr>
          <w:rFonts w:eastAsia="Calibri"/>
          <w:b/>
          <w:i/>
          <w:iCs/>
          <w:color w:val="000000"/>
        </w:rPr>
        <w:t>(код ДК 021-2015 (CPV) 03220000-9 - Овочі, фрукти та горіхи)</w:t>
      </w:r>
    </w:p>
    <w:p>
      <w:pPr>
        <w:pStyle w:val="Normal"/>
        <w:suppressAutoHyphens w:val="true"/>
        <w:ind w:firstLine="709"/>
        <w:jc w:val="both"/>
        <w:rPr>
          <w:rFonts w:eastAsia="Calibri"/>
          <w:b/>
          <w:b/>
          <w:bCs/>
          <w:i/>
          <w:i/>
          <w:color w:val="000000"/>
          <w:u w:val="single"/>
        </w:rPr>
      </w:pPr>
      <w:r>
        <w:rPr>
          <w:rFonts w:eastAsia="Calibri"/>
          <w:b/>
          <w:bCs/>
          <w:i/>
          <w:color w:val="000000"/>
          <w:u w:val="single"/>
        </w:rPr>
      </w:r>
    </w:p>
    <w:p>
      <w:pPr>
        <w:pStyle w:val="Normal"/>
        <w:suppressAutoHyphens w:val="true"/>
        <w:ind w:firstLine="709"/>
        <w:jc w:val="both"/>
        <w:rPr>
          <w:sz w:val="22"/>
          <w:szCs w:val="22"/>
          <w:lang w:eastAsia="zh-CN"/>
        </w:rPr>
      </w:pPr>
      <w:r>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632"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565"/>
        <w:gridCol w:w="3687"/>
        <w:gridCol w:w="1701"/>
        <w:gridCol w:w="4678"/>
      </w:tblGrid>
      <w:tr>
        <w:trPr>
          <w:trHeight w:val="33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firstLine="176"/>
              <w:jc w:val="center"/>
              <w:rPr>
                <w:b/>
                <w:b/>
                <w:sz w:val="22"/>
                <w:szCs w:val="22"/>
                <w:lang w:eastAsia="zh-CN"/>
              </w:rPr>
            </w:pPr>
            <w:r>
              <w:rPr>
                <w:b/>
                <w:sz w:val="22"/>
                <w:szCs w:val="22"/>
                <w:lang w:eastAsia="zh-CN"/>
              </w:rPr>
              <w:t>№</w:t>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b/>
                <w:b/>
                <w:sz w:val="22"/>
                <w:szCs w:val="22"/>
                <w:lang w:eastAsia="zh-CN"/>
              </w:rPr>
            </w:pPr>
            <w:r>
              <w:rPr>
                <w:b/>
                <w:sz w:val="22"/>
                <w:szCs w:val="22"/>
                <w:lang w:eastAsia="zh-CN"/>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b/>
                <w:b/>
                <w:sz w:val="22"/>
                <w:szCs w:val="22"/>
                <w:lang w:eastAsia="zh-CN"/>
              </w:rPr>
            </w:pPr>
            <w:r>
              <w:rPr>
                <w:b/>
                <w:sz w:val="22"/>
                <w:szCs w:val="22"/>
                <w:lang w:eastAsia="zh-CN"/>
              </w:rPr>
              <w:t>Кількість, кг.</w:t>
            </w:r>
          </w:p>
        </w:tc>
        <w:tc>
          <w:tcPr>
            <w:tcW w:w="4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firstLine="709"/>
              <w:jc w:val="center"/>
              <w:rPr>
                <w:b/>
                <w:b/>
                <w:sz w:val="22"/>
                <w:szCs w:val="22"/>
                <w:lang w:eastAsia="zh-CN"/>
              </w:rPr>
            </w:pPr>
            <w:r>
              <w:rPr>
                <w:b/>
                <w:sz w:val="22"/>
                <w:szCs w:val="22"/>
                <w:lang w:eastAsia="zh-CN"/>
              </w:rPr>
              <w:t>Вимоги до предмету закупівлі</w:t>
            </w:r>
          </w:p>
        </w:tc>
      </w:tr>
      <w:tr>
        <w:trPr>
          <w:trHeight w:val="50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1</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Яблука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123</w:t>
            </w:r>
            <w:r>
              <w:rPr>
                <w:sz w:val="22"/>
                <w:szCs w:val="22"/>
              </w:rPr>
              <w:t>0</w:t>
            </w:r>
          </w:p>
        </w:tc>
        <w:tc>
          <w:tcPr>
            <w:tcW w:w="46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Фрукти повинні бути цілі, свіжі, чисті, не в’ялі, достатньо зрілі, без наявності  гнилі, без механічних пошкоджень та без пошкоджень шкідниками та хворобами. На смак солодкі або з  слабо вираженою кислинкою.</w:t>
            </w:r>
          </w:p>
          <w:p>
            <w:pPr>
              <w:pStyle w:val="Normal"/>
              <w:widowControl w:val="false"/>
              <w:jc w:val="both"/>
              <w:rPr>
                <w:sz w:val="22"/>
                <w:szCs w:val="22"/>
              </w:rPr>
            </w:pPr>
            <w:r>
              <w:rPr>
                <w:sz w:val="22"/>
                <w:szCs w:val="22"/>
              </w:rPr>
              <w:t>Відповідати ДСТУ та іншим чинним законодавчим актам.</w:t>
            </w:r>
          </w:p>
        </w:tc>
      </w:tr>
      <w:tr>
        <w:trPr>
          <w:trHeight w:val="556"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2</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Банани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600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564"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3</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Цитрусові (мандарини/апельсини)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300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559"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4</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Груші</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300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559"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5</w:t>
            </w:r>
          </w:p>
        </w:tc>
        <w:tc>
          <w:tcPr>
            <w:tcW w:w="368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Слива</w:t>
            </w:r>
          </w:p>
        </w:tc>
        <w:tc>
          <w:tcPr>
            <w:tcW w:w="1701" w:type="dxa"/>
            <w:tcBorders>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200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559"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6</w:t>
            </w:r>
          </w:p>
        </w:tc>
        <w:tc>
          <w:tcPr>
            <w:tcW w:w="368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Ківі</w:t>
            </w:r>
          </w:p>
        </w:tc>
        <w:tc>
          <w:tcPr>
            <w:tcW w:w="1701" w:type="dxa"/>
            <w:tcBorders>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552"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7</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Капуста білокачанна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850</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Без пошкоджень, гнилі, середнього розміру,  на смак та колір відповідати типовій овочевій продукції, має по якості і безпечності  відповідати чинним законодавчим актам.</w:t>
            </w:r>
          </w:p>
        </w:tc>
      </w:tr>
      <w:tr>
        <w:trPr>
          <w:trHeight w:val="78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8</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Морква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600</w:t>
            </w:r>
          </w:p>
        </w:tc>
        <w:tc>
          <w:tcPr>
            <w:tcW w:w="46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r>
          </w:p>
        </w:tc>
      </w:tr>
      <w:tr>
        <w:trPr>
          <w:trHeight w:val="78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9</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Буряк</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600</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78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10</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Цибуля ріпка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425</w:t>
            </w:r>
          </w:p>
        </w:tc>
        <w:tc>
          <w:tcPr>
            <w:tcW w:w="46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tc>
      </w:tr>
      <w:tr>
        <w:trPr>
          <w:trHeight w:val="78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36" w:leader="none"/>
              </w:tabs>
              <w:suppressAutoHyphens w:val="true"/>
              <w:ind w:left="34" w:hanging="0"/>
              <w:rPr>
                <w:sz w:val="22"/>
                <w:szCs w:val="22"/>
                <w:lang w:eastAsia="zh-CN"/>
              </w:rPr>
            </w:pPr>
            <w:r>
              <w:rPr>
                <w:sz w:val="22"/>
                <w:szCs w:val="22"/>
                <w:lang w:eastAsia="zh-CN"/>
              </w:rPr>
              <w:t>11</w:t>
            </w:r>
          </w:p>
        </w:tc>
        <w:tc>
          <w:tcPr>
            <w:tcW w:w="3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Капуста пекінська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150</w:t>
            </w:r>
          </w:p>
        </w:tc>
        <w:tc>
          <w:tcPr>
            <w:tcW w:w="46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Без пошкоджень, гнилі, середнього розміру,  на смак та колір відповідати типовій овочевій продукції, має по якості і безпечності  відповідати чинним законодавчим актам.</w:t>
            </w:r>
          </w:p>
        </w:tc>
      </w:tr>
      <w:tr>
        <w:trPr>
          <w:trHeight w:val="780" w:hRule="atLeast"/>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2"/>
                <w:szCs w:val="22"/>
              </w:rPr>
            </w:pPr>
            <w:r>
              <w:rPr>
                <w:sz w:val="22"/>
                <w:szCs w:val="22"/>
              </w:rPr>
              <w:t>Овочі та фрукти не повинні містити небезпечні речовини, в тому числі штучні барвники, консерванти, ароматизатори, ГМО, тощо.</w:t>
            </w:r>
          </w:p>
        </w:tc>
      </w:tr>
      <w:tr>
        <w:trPr>
          <w:trHeight w:val="780" w:hRule="atLeast"/>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sz w:val="22"/>
                <w:szCs w:val="22"/>
                <w:lang w:eastAsia="ru-RU"/>
              </w:rPr>
            </w:pPr>
            <w:r>
              <w:rPr>
                <w:rFonts w:eastAsia="Calibri"/>
                <w:sz w:val="22"/>
                <w:szCs w:val="22"/>
                <w:lang w:eastAsia="ru-RU"/>
              </w:rPr>
              <w:t>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pPr>
              <w:pStyle w:val="Normal"/>
              <w:widowControl w:val="false"/>
              <w:jc w:val="both"/>
              <w:rPr>
                <w:rFonts w:eastAsia="Calibri"/>
                <w:sz w:val="22"/>
                <w:szCs w:val="22"/>
                <w:lang w:eastAsia="ru-RU"/>
              </w:rPr>
            </w:pPr>
            <w:r>
              <w:rPr>
                <w:rFonts w:eastAsia="Calibri"/>
                <w:sz w:val="22"/>
                <w:szCs w:val="22"/>
                <w:lang w:eastAsia="ru-RU"/>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pPr>
              <w:pStyle w:val="Normal"/>
              <w:widowControl w:val="false"/>
              <w:jc w:val="both"/>
              <w:rPr>
                <w:rFonts w:eastAsia="Calibri"/>
                <w:sz w:val="22"/>
                <w:szCs w:val="22"/>
                <w:lang w:eastAsia="ru-RU"/>
              </w:rPr>
            </w:pPr>
            <w:r>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pPr>
              <w:pStyle w:val="Normal"/>
              <w:widowControl w:val="false"/>
              <w:jc w:val="both"/>
              <w:rPr>
                <w:rFonts w:eastAsia="Calibri"/>
                <w:sz w:val="22"/>
                <w:szCs w:val="22"/>
                <w:lang w:eastAsia="ru-RU"/>
              </w:rPr>
            </w:pPr>
            <w:r>
              <w:rPr>
                <w:rFonts w:eastAsia="Calibri"/>
                <w:sz w:val="22"/>
                <w:szCs w:val="22"/>
                <w:lang w:eastAsia="ru-RU"/>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pPr>
              <w:pStyle w:val="Normal"/>
              <w:widowControl w:val="false"/>
              <w:jc w:val="both"/>
              <w:rPr>
                <w:rFonts w:eastAsia="Calibri"/>
                <w:sz w:val="22"/>
                <w:szCs w:val="22"/>
                <w:lang w:eastAsia="ru-RU"/>
              </w:rPr>
            </w:pPr>
            <w:r>
              <w:rPr>
                <w:rFonts w:eastAsia="Calibri"/>
                <w:sz w:val="22"/>
                <w:szCs w:val="22"/>
                <w:lang w:eastAsia="ru-RU"/>
              </w:rPr>
              <w:t xml:space="preserve">Постачання товару здійснюється до 31.12.2024 року відповідно до заявки Замовника, один раз на </w:t>
            </w:r>
            <w:r>
              <w:rPr>
                <w:rFonts w:eastAsia="Calibri"/>
                <w:sz w:val="22"/>
                <w:szCs w:val="22"/>
                <w:lang w:eastAsia="ru-RU"/>
              </w:rPr>
              <w:t>тиждень</w:t>
            </w:r>
            <w:r>
              <w:rPr>
                <w:rFonts w:eastAsia="Calibri"/>
                <w:sz w:val="22"/>
                <w:szCs w:val="22"/>
                <w:lang w:eastAsia="ru-RU"/>
              </w:rPr>
              <w:t xml:space="preserve">  (понеділок) з 08:00 до 15:00 години.</w:t>
            </w:r>
          </w:p>
          <w:p>
            <w:pPr>
              <w:pStyle w:val="Normal"/>
              <w:widowControl w:val="false"/>
              <w:jc w:val="both"/>
              <w:rPr>
                <w:rFonts w:eastAsia="Calibri"/>
                <w:sz w:val="22"/>
                <w:szCs w:val="22"/>
                <w:lang w:eastAsia="ru-RU"/>
              </w:rPr>
            </w:pPr>
            <w:r>
              <w:rPr>
                <w:rFonts w:eastAsia="Calibri"/>
                <w:sz w:val="22"/>
                <w:szCs w:val="22"/>
                <w:lang w:eastAsia="ru-RU"/>
              </w:rPr>
              <w:t>Строк поставки товару – до 31.12.2024 року .</w:t>
            </w:r>
          </w:p>
        </w:tc>
      </w:tr>
    </w:tbl>
    <w:p>
      <w:pPr>
        <w:pStyle w:val="Normal"/>
        <w:numPr>
          <w:ilvl w:val="0"/>
          <w:numId w:val="0"/>
        </w:numPr>
        <w:tabs>
          <w:tab w:val="clear" w:pos="720"/>
          <w:tab w:val="center" w:pos="4819" w:leader="none"/>
        </w:tabs>
        <w:ind w:left="0" w:hanging="0"/>
        <w:jc w:val="both"/>
        <w:outlineLvl w:val="0"/>
        <w:rPr>
          <w:rFonts w:eastAsia="Calibri"/>
          <w:b/>
          <w:b/>
          <w:sz w:val="22"/>
          <w:szCs w:val="22"/>
          <w:lang w:eastAsia="ru-RU"/>
        </w:rPr>
      </w:pPr>
      <w:r>
        <w:rPr>
          <w:rFonts w:eastAsia="Calibri"/>
          <w:b/>
          <w:sz w:val="22"/>
          <w:szCs w:val="22"/>
          <w:lang w:eastAsia="ru-RU"/>
        </w:rPr>
      </w:r>
    </w:p>
    <w:p>
      <w:pPr>
        <w:pStyle w:val="Normal"/>
        <w:numPr>
          <w:ilvl w:val="0"/>
          <w:numId w:val="0"/>
        </w:numPr>
        <w:tabs>
          <w:tab w:val="clear" w:pos="720"/>
          <w:tab w:val="center" w:pos="4819" w:leader="none"/>
        </w:tabs>
        <w:ind w:left="0" w:hanging="0"/>
        <w:jc w:val="both"/>
        <w:outlineLvl w:val="0"/>
        <w:rPr>
          <w:rFonts w:eastAsia="Calibri"/>
          <w:b/>
          <w:b/>
          <w:sz w:val="22"/>
          <w:szCs w:val="22"/>
          <w:lang w:eastAsia="ru-RU"/>
        </w:rPr>
      </w:pPr>
      <w:r>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pPr>
        <w:pStyle w:val="Normal"/>
        <w:numPr>
          <w:ilvl w:val="0"/>
          <w:numId w:val="0"/>
        </w:numPr>
        <w:tabs>
          <w:tab w:val="clear" w:pos="720"/>
          <w:tab w:val="center" w:pos="4819" w:leader="none"/>
        </w:tabs>
        <w:ind w:left="0" w:hanging="0"/>
        <w:jc w:val="both"/>
        <w:outlineLvl w:val="0"/>
        <w:rPr>
          <w:rFonts w:eastAsia="Calibri"/>
          <w:b/>
          <w:b/>
          <w:sz w:val="22"/>
          <w:szCs w:val="22"/>
          <w:lang w:eastAsia="ru-RU"/>
        </w:rPr>
      </w:pPr>
      <w:r>
        <w:rPr>
          <w:rFonts w:eastAsia="Calibri"/>
          <w:b/>
          <w:sz w:val="22"/>
          <w:szCs w:val="22"/>
          <w:lang w:eastAsia="ru-RU"/>
        </w:rPr>
      </w:r>
    </w:p>
    <w:p>
      <w:pPr>
        <w:pStyle w:val="Normal"/>
        <w:widowControl w:val="false"/>
        <w:numPr>
          <w:ilvl w:val="0"/>
          <w:numId w:val="1"/>
        </w:numPr>
        <w:tabs>
          <w:tab w:val="clear" w:pos="720"/>
          <w:tab w:val="left" w:pos="425" w:leader="none"/>
        </w:tabs>
        <w:suppressAutoHyphens w:val="true"/>
        <w:ind w:right="-24" w:firstLine="284"/>
        <w:jc w:val="both"/>
        <w:rPr>
          <w:rFonts w:eastAsia="Calibri"/>
          <w:sz w:val="22"/>
          <w:szCs w:val="22"/>
          <w:lang w:eastAsia="ru-RU"/>
        </w:rPr>
      </w:pPr>
      <w:r>
        <w:rPr>
          <w:rFonts w:eastAsia="Calibri"/>
          <w:sz w:val="22"/>
          <w:szCs w:val="22"/>
          <w:lang w:eastAsia="ru-RU"/>
        </w:rPr>
        <w:t xml:space="preserve">Посвідчення про якість,  та/або декларація виробника, та/або сертифікат відповідності на товар, що є предметом закупівлі. </w:t>
      </w:r>
    </w:p>
    <w:p>
      <w:pPr>
        <w:pStyle w:val="ListParagraph"/>
        <w:numPr>
          <w:ilvl w:val="0"/>
          <w:numId w:val="1"/>
        </w:numPr>
        <w:shd w:val="clear" w:color="auto" w:fill="FFFFFF"/>
        <w:ind w:left="0" w:firstLine="284"/>
        <w:jc w:val="both"/>
        <w:rPr>
          <w:sz w:val="22"/>
          <w:szCs w:val="22"/>
        </w:rPr>
      </w:pPr>
      <w:r>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2024 року), щодо оцінки відповідності товару на вміст нітратів та пестицидів, отримані на товар врожаю 2023  або 2024 року.</w:t>
      </w:r>
    </w:p>
    <w:p>
      <w:pPr>
        <w:pStyle w:val="ListParagraph"/>
        <w:numPr>
          <w:ilvl w:val="0"/>
          <w:numId w:val="1"/>
        </w:numPr>
        <w:shd w:val="clear" w:color="auto" w:fill="FFFFFF"/>
        <w:ind w:left="0" w:firstLine="284"/>
        <w:jc w:val="both"/>
        <w:rPr>
          <w:sz w:val="22"/>
          <w:szCs w:val="22"/>
        </w:rPr>
      </w:pPr>
      <w:r>
        <w:rPr>
          <w:sz w:val="22"/>
          <w:szCs w:val="22"/>
        </w:rPr>
        <w:t>Експлуатаційний дозвіл Учасника.</w:t>
      </w:r>
    </w:p>
    <w:p>
      <w:pPr>
        <w:pStyle w:val="Normal"/>
        <w:widowControl w:val="false"/>
        <w:numPr>
          <w:ilvl w:val="0"/>
          <w:numId w:val="1"/>
        </w:numPr>
        <w:tabs>
          <w:tab w:val="clear" w:pos="720"/>
          <w:tab w:val="left" w:pos="0" w:leader="none"/>
          <w:tab w:val="left" w:pos="142" w:leader="none"/>
        </w:tabs>
        <w:suppressAutoHyphens w:val="true"/>
        <w:ind w:right="-24" w:firstLine="284"/>
        <w:jc w:val="both"/>
        <w:rPr>
          <w:rFonts w:eastAsia="Calibri"/>
          <w:sz w:val="22"/>
          <w:szCs w:val="22"/>
          <w:lang w:eastAsia="ru-RU"/>
        </w:rPr>
      </w:pPr>
      <w:r>
        <w:rPr>
          <w:rFonts w:eastAsia="Calibri"/>
          <w:sz w:val="22"/>
          <w:szCs w:val="22"/>
          <w:lang w:eastAsia="ru-RU"/>
        </w:rPr>
        <w:t xml:space="preserve">Договір, який підтверджує відносини з виробником (дистриб’ютором, дилером, тощо) на продукцію, яка є предметом закупівлі </w:t>
      </w:r>
      <w:r>
        <w:rPr>
          <w:rFonts w:eastAsia="Calibri"/>
          <w:b/>
          <w:sz w:val="22"/>
          <w:szCs w:val="22"/>
          <w:lang w:eastAsia="ru-RU"/>
        </w:rPr>
        <w:t xml:space="preserve">(яблука, банани, цитрусові (апельсини/мандарини), </w:t>
      </w:r>
      <w:r>
        <w:rPr>
          <w:rFonts w:eastAsia="Calibri"/>
          <w:b/>
          <w:sz w:val="22"/>
          <w:szCs w:val="22"/>
          <w:lang w:eastAsia="ru-RU"/>
        </w:rPr>
        <w:t>груші, слива, ківі,</w:t>
      </w:r>
      <w:r>
        <w:rPr>
          <w:rFonts w:eastAsia="Calibri"/>
          <w:b/>
          <w:sz w:val="22"/>
          <w:szCs w:val="22"/>
          <w:lang w:eastAsia="ru-RU"/>
        </w:rPr>
        <w:t>капуста, морква,буряк, цибуля,  капуста пекінська, )</w:t>
      </w:r>
      <w:r>
        <w:rPr>
          <w:rFonts w:eastAsia="Calibri"/>
          <w:sz w:val="22"/>
          <w:szCs w:val="22"/>
          <w:lang w:eastAsia="ru-RU"/>
        </w:rPr>
        <w:t xml:space="preserve"> </w:t>
      </w:r>
      <w:bookmarkStart w:id="0" w:name="_GoBack"/>
      <w:bookmarkEnd w:id="0"/>
      <w:r>
        <w:rPr>
          <w:rFonts w:eastAsia="Calibri"/>
          <w:sz w:val="22"/>
          <w:szCs w:val="22"/>
          <w:lang w:eastAsia="ru-RU"/>
        </w:rPr>
        <w:t xml:space="preserve">(дилерська угода/дистриб’юторский договір/ договір поставки, тощо) дійсний впродовж  2024 року. </w:t>
      </w:r>
    </w:p>
    <w:p>
      <w:pPr>
        <w:pStyle w:val="Normal"/>
        <w:widowControl w:val="false"/>
        <w:numPr>
          <w:ilvl w:val="0"/>
          <w:numId w:val="1"/>
        </w:numPr>
        <w:tabs>
          <w:tab w:val="clear" w:pos="720"/>
          <w:tab w:val="left" w:pos="142" w:leader="none"/>
        </w:tabs>
        <w:suppressAutoHyphens w:val="true"/>
        <w:ind w:right="-24" w:firstLine="284"/>
        <w:jc w:val="both"/>
        <w:rPr>
          <w:rFonts w:eastAsia="Calibri"/>
          <w:sz w:val="22"/>
          <w:szCs w:val="22"/>
          <w:lang w:eastAsia="ru-RU"/>
        </w:rPr>
      </w:pPr>
      <w:r>
        <w:rPr>
          <w:rFonts w:eastAsia="Calibri"/>
          <w:sz w:val="22"/>
          <w:szCs w:val="22"/>
          <w:lang w:eastAsia="ru-RU"/>
        </w:rPr>
        <w:t>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та зберіганні харчових продуктів. Також надати Витяг з Державного реєстру потужностей операторів ринку (для постачальників сировини та харчових продуктів).</w:t>
      </w:r>
    </w:p>
    <w:p>
      <w:pPr>
        <w:pStyle w:val="Normal"/>
        <w:widowControl w:val="false"/>
        <w:numPr>
          <w:ilvl w:val="0"/>
          <w:numId w:val="1"/>
        </w:numPr>
        <w:tabs>
          <w:tab w:val="clear" w:pos="720"/>
          <w:tab w:val="left" w:pos="142" w:leader="none"/>
        </w:tabs>
        <w:suppressAutoHyphens w:val="true"/>
        <w:ind w:right="-24" w:firstLine="284"/>
        <w:jc w:val="both"/>
        <w:rPr>
          <w:rFonts w:eastAsia="Calibri"/>
          <w:sz w:val="22"/>
          <w:szCs w:val="22"/>
          <w:lang w:eastAsia="ru-RU"/>
        </w:rPr>
      </w:pPr>
      <w:r>
        <w:rPr>
          <w:rFonts w:eastAsia="Calibri"/>
          <w:sz w:val="22"/>
          <w:szCs w:val="22"/>
          <w:lang w:eastAsia="ru-RU"/>
        </w:rPr>
        <w:t>Акт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pPr>
        <w:pStyle w:val="Normal"/>
        <w:widowControl w:val="false"/>
        <w:numPr>
          <w:ilvl w:val="0"/>
          <w:numId w:val="1"/>
        </w:numPr>
        <w:tabs>
          <w:tab w:val="clear" w:pos="720"/>
          <w:tab w:val="left" w:pos="142" w:leader="none"/>
        </w:tabs>
        <w:suppressAutoHyphens w:val="true"/>
        <w:ind w:right="-24" w:firstLine="284"/>
        <w:jc w:val="both"/>
        <w:rPr>
          <w:rFonts w:eastAsia="Calibri"/>
          <w:sz w:val="22"/>
          <w:szCs w:val="22"/>
          <w:lang w:eastAsia="ru-RU"/>
        </w:rPr>
      </w:pPr>
      <w:r>
        <w:rPr>
          <w:rFonts w:eastAsia="Calibri"/>
          <w:sz w:val="22"/>
          <w:szCs w:val="22"/>
          <w:lang w:eastAsia="ru-RU"/>
        </w:rPr>
        <w:t xml:space="preserve">Акт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або згідно Наказу Міністерства аграрної політики та продовольства України №1503 від 08.08.2023. Акт без виявлених порушень), датований не більше річної давнини відносно кінцевої дати подання пропозиції. </w:t>
      </w:r>
    </w:p>
    <w:p>
      <w:pPr>
        <w:pStyle w:val="Normal"/>
        <w:numPr>
          <w:ilvl w:val="0"/>
          <w:numId w:val="1"/>
        </w:numPr>
        <w:ind w:firstLine="284"/>
        <w:jc w:val="both"/>
        <w:rPr>
          <w:rFonts w:eastAsia="Calibri"/>
          <w:sz w:val="22"/>
          <w:szCs w:val="22"/>
          <w:lang w:eastAsia="ru-RU"/>
        </w:rPr>
      </w:pPr>
      <w:r>
        <w:rPr>
          <w:rFonts w:eastAsia="Calibri"/>
          <w:sz w:val="22"/>
          <w:szCs w:val="22"/>
          <w:lang w:eastAsia="ru-RU"/>
        </w:rPr>
        <w:t xml:space="preserve">Сертифікат ДСТУ ISO 14001:2015 (ISO 14001:2015, </w:t>
      </w:r>
      <w:r>
        <w:rPr>
          <w:rFonts w:eastAsia="Calibri"/>
          <w:sz w:val="22"/>
          <w:szCs w:val="22"/>
          <w:lang w:eastAsia="ar-SA"/>
        </w:rPr>
        <w:t>IDT</w:t>
      </w:r>
      <w:r>
        <w:rPr>
          <w:rFonts w:eastAsia="Calibri"/>
          <w:sz w:val="22"/>
          <w:szCs w:val="22"/>
          <w:lang w:eastAsia="ru-RU"/>
        </w:rPr>
        <w:t>) на систему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 Надати атестат акредитації зі сферою акредитації органу оцінювання, який видав вказаний сертифікат.</w:t>
      </w:r>
    </w:p>
    <w:p>
      <w:pPr>
        <w:pStyle w:val="Normal"/>
        <w:widowControl w:val="false"/>
        <w:numPr>
          <w:ilvl w:val="0"/>
          <w:numId w:val="1"/>
        </w:numPr>
        <w:tabs>
          <w:tab w:val="clear" w:pos="720"/>
          <w:tab w:val="left" w:pos="142" w:leader="none"/>
        </w:tabs>
        <w:suppressAutoHyphens w:val="true"/>
        <w:ind w:right="-24" w:firstLine="284"/>
        <w:jc w:val="both"/>
        <w:rPr>
          <w:rFonts w:eastAsia="Calibri"/>
          <w:sz w:val="22"/>
          <w:szCs w:val="22"/>
          <w:lang w:eastAsia="ru-RU"/>
        </w:rPr>
      </w:pPr>
      <w:r>
        <w:rPr>
          <w:rFonts w:eastAsia="Calibri"/>
          <w:sz w:val="22"/>
          <w:szCs w:val="22"/>
          <w:lang w:eastAsia="ar-SA"/>
        </w:rPr>
        <w:t xml:space="preserve">Сертифікат ДСТУ ISO 22000:2019 (ISO 22000:2018, IDT)  на систему управління </w:t>
      </w:r>
      <w:r>
        <w:rPr>
          <w:rFonts w:eastAsia="Calibri"/>
          <w:bCs/>
          <w:sz w:val="22"/>
          <w:szCs w:val="22"/>
          <w:lang w:eastAsia="ru-RU"/>
        </w:rPr>
        <w:t>безпечністю харчових продуктів</w:t>
      </w:r>
      <w:r>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Pr>
          <w:rFonts w:eastAsia="Calibri"/>
          <w:sz w:val="22"/>
          <w:szCs w:val="22"/>
          <w:lang w:eastAsia="ar-SA"/>
        </w:rPr>
        <w:t>та звіт за результатами останнього аудиту</w:t>
      </w:r>
      <w:bookmarkEnd w:id="1"/>
      <w:r>
        <w:rPr>
          <w:rFonts w:eastAsia="Calibri"/>
          <w:sz w:val="22"/>
          <w:szCs w:val="22"/>
          <w:lang w:eastAsia="ar-SA"/>
        </w:rPr>
        <w:t xml:space="preserve">. </w:t>
      </w:r>
      <w:r>
        <w:rPr>
          <w:rFonts w:eastAsia="Calibri"/>
          <w:sz w:val="22"/>
          <w:szCs w:val="22"/>
          <w:lang w:eastAsia="ru-RU"/>
        </w:rPr>
        <w:t>Сертифікат має бути виданий на ім’я Учасника. Надати атестат акредитації зі сферою акредитації органу оцінювання, який видав вказаний сертифікат.</w:t>
      </w:r>
    </w:p>
    <w:p>
      <w:pPr>
        <w:pStyle w:val="Normal"/>
        <w:numPr>
          <w:ilvl w:val="0"/>
          <w:numId w:val="1"/>
        </w:numPr>
        <w:ind w:firstLine="284"/>
        <w:jc w:val="both"/>
        <w:rPr>
          <w:rFonts w:eastAsia="Calibri"/>
          <w:bCs/>
          <w:sz w:val="22"/>
          <w:szCs w:val="22"/>
          <w:lang w:eastAsia="ru-RU"/>
        </w:rPr>
      </w:pPr>
      <w:r>
        <w:rPr>
          <w:rFonts w:eastAsia="Calibri"/>
          <w:bCs/>
          <w:sz w:val="22"/>
          <w:szCs w:val="22"/>
          <w:lang w:eastAsia="ru-RU"/>
        </w:rPr>
        <w:t xml:space="preserve">Сертифікат </w:t>
      </w:r>
      <w:r>
        <w:rPr>
          <w:rFonts w:eastAsia="Calibri"/>
          <w:sz w:val="22"/>
          <w:szCs w:val="22"/>
          <w:lang w:eastAsia="ar-SA"/>
        </w:rPr>
        <w:t xml:space="preserve">ДСТУ </w:t>
      </w:r>
      <w:r>
        <w:rPr>
          <w:rFonts w:eastAsia="Calibri"/>
          <w:sz w:val="22"/>
          <w:szCs w:val="22"/>
          <w:lang w:val="en-US" w:eastAsia="ar-SA"/>
        </w:rPr>
        <w:t>EN</w:t>
      </w:r>
      <w:r>
        <w:rPr>
          <w:rFonts w:eastAsia="Calibri"/>
          <w:bCs/>
          <w:sz w:val="22"/>
          <w:szCs w:val="22"/>
          <w:lang w:eastAsia="ru-RU"/>
        </w:rPr>
        <w:t xml:space="preserve"> ISO 9001:2018 (</w:t>
      </w:r>
      <w:r>
        <w:rPr>
          <w:rFonts w:eastAsia="Calibri"/>
          <w:sz w:val="22"/>
          <w:szCs w:val="22"/>
          <w:lang w:val="en-US" w:eastAsia="ar-SA"/>
        </w:rPr>
        <w:t>EN</w:t>
      </w:r>
      <w:r>
        <w:rPr>
          <w:rFonts w:eastAsia="Calibri"/>
          <w:bCs/>
          <w:sz w:val="22"/>
          <w:szCs w:val="22"/>
          <w:lang w:eastAsia="ru-RU"/>
        </w:rPr>
        <w:t xml:space="preserve"> ISO 9001:2015, ISO 9001:2015, </w:t>
      </w:r>
      <w:r>
        <w:rPr>
          <w:rFonts w:eastAsia="Calibri"/>
          <w:bCs/>
          <w:sz w:val="22"/>
          <w:szCs w:val="22"/>
          <w:lang w:val="en-US" w:eastAsia="ru-RU"/>
        </w:rPr>
        <w:t>IDT</w:t>
      </w:r>
      <w:r>
        <w:rPr>
          <w:rFonts w:eastAsia="Calibri"/>
          <w:bCs/>
          <w:sz w:val="22"/>
          <w:szCs w:val="22"/>
          <w:lang w:eastAsia="ru-RU"/>
        </w:rPr>
        <w:t>)</w:t>
      </w:r>
      <w:r>
        <w:rPr>
          <w:rFonts w:eastAsia="Calibri"/>
          <w:lang w:eastAsia="ru-RU"/>
        </w:rPr>
        <w:t xml:space="preserve"> </w:t>
      </w:r>
      <w:r>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Pr>
          <w:rFonts w:eastAsia="Calibri"/>
          <w:sz w:val="22"/>
          <w:szCs w:val="22"/>
          <w:lang w:eastAsia="ru-RU"/>
        </w:rPr>
        <w:t xml:space="preserve">Сертифікат має бути виданий на ім’я Учасника. </w:t>
      </w:r>
      <w:r>
        <w:rPr>
          <w:sz w:val="22"/>
          <w:szCs w:val="22"/>
        </w:rPr>
        <w:t xml:space="preserve">Надати атестат акредитації зі сферою акредитації органу оцінювання, який видав вказаний </w:t>
      </w:r>
      <w:r>
        <w:rPr>
          <w:rFonts w:eastAsia="Calibri"/>
          <w:bCs/>
          <w:sz w:val="22"/>
          <w:szCs w:val="22"/>
          <w:lang w:eastAsia="ru-RU"/>
        </w:rPr>
        <w:t>сертифікат.</w:t>
      </w:r>
    </w:p>
    <w:p>
      <w:pPr>
        <w:pStyle w:val="ListParagraph"/>
        <w:numPr>
          <w:ilvl w:val="0"/>
          <w:numId w:val="1"/>
        </w:numPr>
        <w:ind w:left="0" w:firstLine="284"/>
        <w:jc w:val="both"/>
        <w:rPr>
          <w:rFonts w:eastAsia="Calibri"/>
          <w:bCs/>
          <w:sz w:val="22"/>
          <w:szCs w:val="22"/>
          <w:lang w:eastAsia="ru-RU"/>
        </w:rPr>
      </w:pPr>
      <w:r>
        <w:rPr>
          <w:rFonts w:eastAsia="Calibri"/>
          <w:bCs/>
          <w:sz w:val="22"/>
          <w:szCs w:val="22"/>
          <w:lang w:eastAsia="ru-RU"/>
        </w:rPr>
        <w:t>Сертифікату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pPr>
        <w:pStyle w:val="Normal"/>
        <w:numPr>
          <w:ilvl w:val="0"/>
          <w:numId w:val="1"/>
        </w:numPr>
        <w:ind w:firstLine="284"/>
        <w:jc w:val="both"/>
        <w:rPr>
          <w:rFonts w:eastAsia="Calibri"/>
          <w:bCs/>
          <w:sz w:val="22"/>
          <w:szCs w:val="22"/>
          <w:lang w:eastAsia="ru-RU"/>
        </w:rPr>
      </w:pPr>
      <w:r>
        <w:rPr>
          <w:rFonts w:eastAsia="Calibri"/>
          <w:bCs/>
          <w:sz w:val="22"/>
          <w:szCs w:val="22"/>
          <w:lang w:eastAsia="ru-RU"/>
        </w:rPr>
        <w:t>Відповідний документ, що засвідчує  проходження радіаційного контролю автомобільного транспорту, яким буде здійснюватись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w:t>
      </w:r>
    </w:p>
    <w:p>
      <w:pPr>
        <w:pStyle w:val="Normal"/>
        <w:numPr>
          <w:ilvl w:val="0"/>
          <w:numId w:val="1"/>
        </w:numPr>
        <w:ind w:firstLine="284"/>
        <w:jc w:val="both"/>
        <w:rPr>
          <w:rFonts w:eastAsia="Calibri"/>
          <w:b/>
          <w:b/>
          <w:color w:val="FF0000"/>
          <w:sz w:val="22"/>
          <w:szCs w:val="22"/>
          <w:lang w:eastAsia="ru-RU"/>
        </w:rPr>
      </w:pPr>
      <w:r>
        <w:rPr>
          <w:rFonts w:eastAsia="Calibri"/>
          <w:sz w:val="22"/>
          <w:szCs w:val="22"/>
          <w:lang w:eastAsia="ru-RU"/>
        </w:rPr>
        <w:t>Відповідно до Закону України «Про основні принципи та вимоги до безпечності та якості харчових продуктів» та Закону України «Про систему громадського здоров’я» учасник повинен надати в складі тендерної пропозиції відповідний документ (експертний висновок/протокол випробувань, тощо),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товару; холодильної(их) та/або морозильної(их)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 Також надати договір з підприємством/установою/організацією, що проводила таке дослідження.</w:t>
      </w:r>
      <w:r>
        <w:rPr>
          <w:rFonts w:eastAsia="Calibri"/>
          <w:b/>
          <w:color w:val="FF0000"/>
          <w:sz w:val="22"/>
          <w:szCs w:val="22"/>
          <w:lang w:eastAsia="ru-RU"/>
        </w:rPr>
        <w:t xml:space="preserve"> </w:t>
      </w:r>
    </w:p>
    <w:p>
      <w:pPr>
        <w:pStyle w:val="Normal"/>
        <w:numPr>
          <w:ilvl w:val="0"/>
          <w:numId w:val="1"/>
        </w:numPr>
        <w:ind w:firstLine="284"/>
        <w:jc w:val="both"/>
        <w:rPr>
          <w:rFonts w:eastAsia="Calibri"/>
          <w:sz w:val="22"/>
          <w:szCs w:val="22"/>
          <w:lang w:eastAsia="ru-RU"/>
        </w:rPr>
      </w:pPr>
      <w:r>
        <w:rPr>
          <w:rFonts w:eastAsia="Calibri"/>
          <w:sz w:val="22"/>
          <w:szCs w:val="22"/>
          <w:lang w:eastAsia="ru-RU"/>
        </w:rPr>
        <w:t>Договір, укладений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pPr>
        <w:pStyle w:val="Normal"/>
        <w:numPr>
          <w:ilvl w:val="0"/>
          <w:numId w:val="1"/>
        </w:numPr>
        <w:ind w:firstLine="284"/>
        <w:jc w:val="both"/>
        <w:rPr>
          <w:rFonts w:eastAsia="Calibri"/>
          <w:sz w:val="22"/>
          <w:szCs w:val="22"/>
          <w:lang w:eastAsia="ru-RU"/>
        </w:rPr>
      </w:pPr>
      <w:r>
        <w:rPr>
          <w:rFonts w:eastAsia="Calibri"/>
          <w:sz w:val="22"/>
          <w:szCs w:val="22"/>
          <w:lang w:eastAsia="ru-RU"/>
        </w:rPr>
        <w:t>Свідоцтв(а) стосовно проведення  учасником процедури закупівлі, калібрування засобів вимірювальної техніки (ваги, термометр(и) та гігрометр(и)),  отримані не раніше другого півріччя 2023 року.</w:t>
      </w:r>
    </w:p>
    <w:p>
      <w:pPr>
        <w:pStyle w:val="Normal"/>
        <w:numPr>
          <w:ilvl w:val="0"/>
          <w:numId w:val="1"/>
        </w:numPr>
        <w:ind w:firstLine="284"/>
        <w:jc w:val="both"/>
        <w:rPr>
          <w:rFonts w:eastAsia="Calibri"/>
          <w:sz w:val="22"/>
          <w:szCs w:val="22"/>
          <w:lang w:eastAsia="ru-RU"/>
        </w:rPr>
      </w:pPr>
      <w:r>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pPr>
        <w:pStyle w:val="Normal"/>
        <w:ind w:left="284" w:right="-24" w:hanging="0"/>
        <w:jc w:val="both"/>
        <w:rPr>
          <w:rFonts w:eastAsia="Calibri"/>
          <w:b/>
          <w:b/>
          <w:color w:val="FF0000"/>
          <w:sz w:val="22"/>
          <w:szCs w:val="22"/>
          <w:lang w:eastAsia="ru-RU"/>
        </w:rPr>
      </w:pPr>
      <w:r>
        <w:rPr>
          <w:rFonts w:eastAsia="Calibri"/>
          <w:b/>
          <w:color w:val="FF0000"/>
          <w:sz w:val="22"/>
          <w:szCs w:val="22"/>
          <w:lang w:eastAsia="ru-RU"/>
        </w:rPr>
      </w:r>
    </w:p>
    <w:p>
      <w:pPr>
        <w:pStyle w:val="Normal"/>
        <w:ind w:right="-24" w:hanging="0"/>
        <w:jc w:val="both"/>
        <w:rPr>
          <w:b/>
          <w:b/>
        </w:rPr>
      </w:pPr>
      <w:r>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Pr>
          <w:rFonts w:eastAsia="Calibri"/>
          <w:sz w:val="22"/>
          <w:szCs w:val="22"/>
          <w:lang w:eastAsia="ru-RU"/>
        </w:rPr>
        <w:t>.</w:t>
      </w:r>
    </w:p>
    <w:p>
      <w:pPr>
        <w:pStyle w:val="Normal"/>
        <w:rPr/>
      </w:pPr>
      <w:r>
        <w:rPr/>
      </w:r>
    </w:p>
    <w:sectPr>
      <w:type w:val="nextPage"/>
      <w:pgSz w:w="11906" w:h="16838"/>
      <w:pgMar w:left="720" w:right="566" w:gutter="0" w:header="0" w:top="426"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dstrike w:val="false"/>
        <w:strike w:val="false"/>
        <w:b w:val="false"/>
        <w:bCs/>
        <w:color w:val="auto"/>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693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en-US" w:bidi="ar-SA"/>
    </w:rPr>
  </w:style>
  <w:style w:type="character" w:styleId="DefaultParagraphFont" w:default="1">
    <w:name w:val="Default Paragraph Font"/>
    <w:uiPriority w:val="1"/>
    <w:unhideWhenUsed/>
    <w:qFormat/>
    <w:rPr/>
  </w:style>
  <w:style w:type="character" w:styleId="Style14" w:customStyle="1">
    <w:name w:val="Без интервала Знак"/>
    <w:link w:val="NoSpacing"/>
    <w:uiPriority w:val="99"/>
    <w:qFormat/>
    <w:locked/>
    <w:rsid w:val="00016931"/>
    <w:rPr>
      <w:rFonts w:ascii="Times New Roman" w:hAnsi="Times New Roman" w:eastAsia="Times New Roman" w:cs="Times New Roman"/>
      <w:sz w:val="24"/>
      <w:szCs w:val="24"/>
      <w:lang w:val="uk-UA" w:eastAsia="zh-CN"/>
    </w:rPr>
  </w:style>
  <w:style w:type="character" w:styleId="Style15" w:customStyle="1">
    <w:name w:val="Обычный (веб) Знак"/>
    <w:link w:val="NormalWeb"/>
    <w:uiPriority w:val="99"/>
    <w:qFormat/>
    <w:locked/>
    <w:rsid w:val="00173e90"/>
    <w:rPr>
      <w:rFonts w:ascii="Times New Roman" w:hAnsi="Times New Roman" w:eastAsia="Times New Roman" w:cs="Times New Roman"/>
      <w:sz w:val="24"/>
      <w:szCs w:val="24"/>
      <w:lang w:val="ru-RU" w:eastAsia="ar-SA"/>
    </w:rPr>
  </w:style>
  <w:style w:type="character" w:styleId="Style16" w:customStyle="1">
    <w:name w:val="Текст выноски Знак"/>
    <w:basedOn w:val="DefaultParagraphFont"/>
    <w:link w:val="BalloonText"/>
    <w:uiPriority w:val="99"/>
    <w:semiHidden/>
    <w:qFormat/>
    <w:rsid w:val="00f03b49"/>
    <w:rPr>
      <w:rFonts w:ascii="Tahoma" w:hAnsi="Tahoma" w:eastAsia="Times New Roman" w:cs="Tahoma"/>
      <w:sz w:val="16"/>
      <w:szCs w:val="16"/>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NoSpacing">
    <w:name w:val="No Spacing"/>
    <w:link w:val="Style14"/>
    <w:uiPriority w:val="99"/>
    <w:qFormat/>
    <w:rsid w:val="0001693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paragraph" w:styleId="ListParagraph">
    <w:name w:val="List Paragraph"/>
    <w:basedOn w:val="Normal"/>
    <w:uiPriority w:val="1"/>
    <w:qFormat/>
    <w:rsid w:val="009641b8"/>
    <w:pPr>
      <w:spacing w:before="0" w:after="0"/>
      <w:ind w:left="720" w:hanging="0"/>
      <w:contextualSpacing/>
    </w:pPr>
    <w:rPr/>
  </w:style>
  <w:style w:type="paragraph" w:styleId="NormalWeb">
    <w:name w:val="Normal (Web)"/>
    <w:basedOn w:val="Normal"/>
    <w:link w:val="Style15"/>
    <w:uiPriority w:val="99"/>
    <w:qFormat/>
    <w:rsid w:val="00173e90"/>
    <w:pPr>
      <w:suppressAutoHyphens w:val="true"/>
      <w:spacing w:before="280" w:after="280"/>
    </w:pPr>
    <w:rPr>
      <w:lang w:val="ru-RU" w:eastAsia="ar-SA"/>
    </w:rPr>
  </w:style>
  <w:style w:type="paragraph" w:styleId="BalloonText">
    <w:name w:val="Balloon Text"/>
    <w:basedOn w:val="Normal"/>
    <w:link w:val="Style16"/>
    <w:uiPriority w:val="99"/>
    <w:semiHidden/>
    <w:unhideWhenUsed/>
    <w:qFormat/>
    <w:rsid w:val="00f03b49"/>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401D-C69C-4955-B4FC-56C66C6F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LibreOffice/7.4.2.3$Windows_X86_64 LibreOffice_project/382eef1f22670f7f4118c8c2dd222ec7ad009daf</Application>
  <AppVersion>15.0000</AppVersion>
  <Pages>3</Pages>
  <Words>1429</Words>
  <Characters>10016</Characters>
  <CharactersWithSpaces>11386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2024-02-15T14:04:00Z</dcterms:created>
  <dc:creator>Пригода</dc:creator>
  <dc:description/>
  <dc:language>uk-UA</dc:language>
  <cp:lastModifiedBy/>
  <cp:lastPrinted>2024-02-15T13:57:00Z</cp:lastPrinted>
  <dcterms:modified xsi:type="dcterms:W3CDTF">2024-02-29T13:16:58Z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