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0C1A5A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0C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8B6DD6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</w:t>
      </w:r>
      <w:proofErr w:type="spellEnd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24830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524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КВАЛІФІКАЦІЙНІ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0B55A6" w:rsidRPr="001C08D0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Style w:val="a8"/>
        <w:tblW w:w="105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0B55A6" w:rsidRPr="008B6DD6" w:rsidTr="00941614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6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5C2E5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0B55A6" w:rsidRPr="00006E53" w:rsidTr="00941614">
        <w:trPr>
          <w:trHeight w:val="45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0B55A6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5A6" w:rsidRDefault="000B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720" w:rsidRPr="00BE7587" w:rsidRDefault="00FA519C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.1. 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Заповнена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викладеній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DD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нижче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proofErr w:type="gram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A54590" w:rsidRPr="00BE7587" w:rsidRDefault="00C53E4C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     </w:t>
            </w:r>
          </w:p>
          <w:tbl>
            <w:tblPr>
              <w:tblW w:w="651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041"/>
              <w:gridCol w:w="1134"/>
              <w:gridCol w:w="2552"/>
            </w:tblGrid>
            <w:tr w:rsidR="00463720" w:rsidRPr="00BE7587" w:rsidTr="003E50A2">
              <w:trPr>
                <w:trHeight w:val="765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з/</w:t>
                  </w:r>
                  <w:proofErr w:type="gram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</w:p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та </w:t>
                  </w:r>
                  <w:proofErr w:type="spellStart"/>
                  <w:proofErr w:type="gram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матер</w:t>
                  </w:r>
                  <w:proofErr w:type="gram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іально-технічна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Примітка</w:t>
                  </w:r>
                  <w:proofErr w:type="spellEnd"/>
                </w:p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власність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оренда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тощо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463720" w:rsidRPr="00BE7587" w:rsidTr="003E50A2">
              <w:trPr>
                <w:trHeight w:val="383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63720" w:rsidRPr="00BE7587" w:rsidTr="003E50A2">
              <w:trPr>
                <w:trHeight w:val="201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3720" w:rsidRPr="00BE7587" w:rsidRDefault="00463720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кольорові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ска</w:t>
            </w:r>
            <w:proofErr w:type="gram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н-</w:t>
            </w:r>
            <w:proofErr w:type="gram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наступних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46161A" w:rsidRPr="00A56892" w:rsidRDefault="00463720" w:rsidP="00A5689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ідтверджуючі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-продажу,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5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року)</w:t>
            </w:r>
            <w:r w:rsidR="0046161A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E08E6" w:rsidRPr="00A56892" w:rsidRDefault="00463720" w:rsidP="00A56892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Договори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автотранспорту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 предметом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доставки товару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томобілі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належать</w:t>
            </w:r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належати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перевізнику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документально:</w:t>
            </w:r>
          </w:p>
          <w:p w:rsidR="00EE08E6" w:rsidRPr="00A56892" w:rsidRDefault="00EE08E6" w:rsidP="00431002">
            <w:pPr>
              <w:pStyle w:val="a6"/>
              <w:shd w:val="clear" w:color="auto" w:fill="FFFFFF"/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автотранспорт;</w:t>
            </w:r>
          </w:p>
          <w:p w:rsidR="00A56892" w:rsidRPr="00006E53" w:rsidRDefault="00463720" w:rsidP="00006E5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здійснюватись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власного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транспорту, то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ізотермічні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рефрижератори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</w:t>
            </w:r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укладений</w:t>
            </w:r>
            <w:proofErr w:type="spellEnd"/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="0000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55A6" w:rsidRPr="00AF2B5D" w:rsidTr="00BC38E1">
        <w:trPr>
          <w:trHeight w:val="1156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006E53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06E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006E53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6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0B55A6" w:rsidRPr="00006E53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D6" w:rsidRPr="00BE7587" w:rsidRDefault="008B6DD6" w:rsidP="00463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587">
              <w:rPr>
                <w:rFonts w:ascii="Times New Roman" w:hAnsi="Times New Roman" w:cs="Times New Roman"/>
                <w:lang w:val="uk-UA" w:eastAsia="ru-RU"/>
              </w:rPr>
              <w:t>2</w:t>
            </w:r>
            <w:r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Заповнену довідка у формі, викладеній нижче, що містить</w:t>
            </w:r>
          </w:p>
          <w:p w:rsidR="008B6DD6" w:rsidRPr="00BE7587" w:rsidRDefault="008B6DD6" w:rsidP="008B6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інформацію про наявність працівників відповідної кваліфікації, які мають необхідні знання та досвід.</w:t>
            </w:r>
            <w:r w:rsidR="00C53E4C"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:rsidR="00C53E4C" w:rsidRPr="00BE7587" w:rsidRDefault="00C53E4C" w:rsidP="008B6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pPr w:leftFromText="180" w:rightFromText="180" w:vertAnchor="page" w:horzAnchor="margin" w:tblpY="964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6"/>
              <w:gridCol w:w="1061"/>
              <w:gridCol w:w="1030"/>
              <w:gridCol w:w="1430"/>
              <w:gridCol w:w="980"/>
              <w:gridCol w:w="1417"/>
            </w:tblGrid>
            <w:tr w:rsidR="008B6DD6" w:rsidRPr="00BE7587" w:rsidTr="00E07289">
              <w:trPr>
                <w:trHeight w:val="835"/>
              </w:trPr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after="12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з/</w:t>
                  </w:r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Посада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робоча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професія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ізвище</w:t>
                  </w:r>
                  <w:proofErr w:type="spellEnd"/>
                </w:p>
                <w:p w:rsidR="008B6DD6" w:rsidRPr="00BE7587" w:rsidRDefault="008B6DD6" w:rsidP="008B6DD6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ініціали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Освіта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і </w:t>
                  </w:r>
                  <w:proofErr w:type="spellStart"/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спец</w:t>
                  </w:r>
                  <w:proofErr w:type="gram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іальність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розряд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(в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наявності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Досвід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аналогічній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8B6DD6" w:rsidRPr="00BE7587" w:rsidTr="00E07289">
              <w:trPr>
                <w:trHeight w:val="216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E7587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8B6DD6" w:rsidRPr="00BE7587" w:rsidTr="00E07289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B6DD6" w:rsidRPr="00BE7587" w:rsidTr="00E07289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63720" w:rsidRDefault="008B6DD6" w:rsidP="00941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58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електронному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кольорові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скан</w:t>
            </w:r>
            <w:r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-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копії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наступних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</w:t>
            </w:r>
            <w:proofErr w:type="gram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43F7" w:rsidRPr="006243F7" w:rsidRDefault="006243F7" w:rsidP="00941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720" w:rsidRPr="00BE7587" w:rsidRDefault="00463720" w:rsidP="00463720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даної довідки (Таблиця 3) Учасник повинен надати в електронному вигляді кольорові </w:t>
            </w:r>
            <w:proofErr w:type="spellStart"/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</w:t>
            </w:r>
            <w:proofErr w:type="spellEnd"/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</w:t>
            </w:r>
            <w:r w:rsidRPr="00BE7587">
              <w:rPr>
                <w:rFonts w:ascii="Times New Roman" w:hAnsi="Times New Roman" w:cs="Times New Roman"/>
                <w:sz w:val="24"/>
                <w:szCs w:val="24"/>
              </w:rPr>
              <w:t>опії оригіналів особових медичних книжок персоналу, що буде залучено до постачання товару, з вчасним проходженням медоглядів (водії, експедитори, вантажник, комірник) 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 закладу, в книжках повинно бути зазначено, що даний персонал працює у учасника або у перевізника;</w:t>
            </w:r>
          </w:p>
          <w:p w:rsidR="00463720" w:rsidRPr="00BE7587" w:rsidRDefault="00463720" w:rsidP="00463720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Медичні довідки щодо придатності до керування транспортними засобами водіїв автотранспортних засобів, які виконують роботи з перевезення вантажів, що підтверджують своєчасний періодичний огляд, один раз на рік, відповідно до «Положення про медичний огляд кандидатів у водії та водіїв транспортних засобів», затверджене Наказом МОЗ та МВС України № 65/80 від 31.01.2013 р.</w:t>
            </w:r>
          </w:p>
          <w:p w:rsidR="005C251D" w:rsidRPr="00BE7587" w:rsidRDefault="005C251D" w:rsidP="00E07289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Кольорові </w:t>
            </w:r>
            <w:proofErr w:type="spellStart"/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</w:t>
            </w:r>
            <w:proofErr w:type="spellEnd"/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-копії оригіналів водійських посвідчень водіїв, що будуть залучені до поставок.</w:t>
            </w:r>
          </w:p>
        </w:tc>
      </w:tr>
      <w:tr w:rsidR="000B55A6" w:rsidTr="00941614">
        <w:trPr>
          <w:trHeight w:val="187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5C2E5F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Довідка про виконання аналогічного* договору</w:t>
            </w:r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(не менше двох)</w:t>
            </w:r>
            <w:r w:rsidR="00734936" w:rsidRPr="00BE7587"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виконаного учасником у повному обсязі, складена і заповнена за формою, наведеною нижче</w:t>
            </w:r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B26654" w:rsidRPr="00BE7587" w:rsidRDefault="00B26654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920"/>
              <w:gridCol w:w="2631"/>
              <w:gridCol w:w="1551"/>
              <w:gridCol w:w="1204"/>
            </w:tblGrid>
            <w:tr w:rsidR="00F0789E" w:rsidRPr="00BE7587" w:rsidTr="008B6DD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F0789E" w:rsidRPr="00BE7587" w:rsidTr="008B6DD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Для підтвердження інформації учасник повинен надати:</w:t>
            </w:r>
          </w:p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3.2.1. Копію </w:t>
            </w:r>
            <w:r w:rsidR="00EF3901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оригіналу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договору  з усіма додатками, зазначеного у довідці</w:t>
            </w:r>
            <w:r w:rsidR="00EF3901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період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B0B5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3.2.2. </w:t>
            </w:r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Лист-відгук за цим договором(</w:t>
            </w:r>
            <w:proofErr w:type="spellStart"/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proofErr w:type="spellEnd"/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повинен бути на фірмовому бланку з номером та датою видачі відгуку  завірений підписом та печаткою (за наявності) Замовника з яким укладено такий договір(и)</w:t>
            </w:r>
          </w:p>
          <w:p w:rsidR="000B55A6" w:rsidRPr="005C2E5F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*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 аналогічними договорами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розуміються договори на постачання товару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згідно предмету закупівлі 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ДК 021:2015 (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CPV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))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Інформація про спосіб підтвердження відсутності підстав, визначених у пункті 47 Особливостей для Учасників:</w:t>
      </w: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B922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B922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подання тендерної пропозиції, а саме </w:t>
      </w:r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шляхом заповнення окремих електронних полів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(проставлення «галочки»).</w:t>
      </w:r>
      <w:r w:rsidRPr="00B922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</w:p>
    <w:p w:rsidR="006E00B5" w:rsidRDefault="00B9228B" w:rsidP="006E00B5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</w:t>
      </w:r>
      <w:r w:rsidRPr="00B922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абзаці чотирнадцятому пункту 47 Особливостей</w:t>
      </w: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22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</w:t>
      </w:r>
      <w:r w:rsidR="006E00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,</w:t>
      </w:r>
    </w:p>
    <w:p w:rsidR="00B9228B" w:rsidRPr="00B9228B" w:rsidRDefault="00B9228B" w:rsidP="006E00B5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або </w:t>
      </w: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B9228B" w:rsidRPr="00B9228B" w:rsidRDefault="00B9228B" w:rsidP="00B922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У разі участі об’єднання учасників підтвердження відсутності підстав, визначених </w:t>
      </w:r>
      <w:bookmarkStart w:id="0" w:name="_Hlk128168107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0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B9228B" w:rsidRPr="00B9228B" w:rsidRDefault="00B9228B" w:rsidP="00B9228B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 Перелік документів та інформації  для підтвердження відповідності ПЕРЕМОЖЦЯ вимогам, визначеним у пункті 47 Особливостей:*</w:t>
      </w:r>
    </w:p>
    <w:p w:rsidR="00B9228B" w:rsidRPr="00B9228B" w:rsidRDefault="00B9228B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3.1. 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Pr="00B922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чотири дні</w:t>
      </w:r>
      <w:r w:rsidRPr="00B922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документи, що підтверджують </w:t>
      </w:r>
      <w:r w:rsidRPr="00B9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2D19D7" w:rsidRDefault="002D19D7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9228B" w:rsidRPr="00B9228B" w:rsidRDefault="00B9228B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пунктом 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Особливостей: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710"/>
        <w:gridCol w:w="9640"/>
      </w:tblGrid>
      <w:tr w:rsidR="00B9228B" w:rsidRPr="00B9228B" w:rsidTr="008307E3">
        <w:trPr>
          <w:trHeight w:val="141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_Hlk5737775"/>
          </w:p>
        </w:tc>
        <w:tc>
          <w:tcPr>
            <w:tcW w:w="4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B9228B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</w:t>
            </w:r>
          </w:p>
        </w:tc>
      </w:tr>
      <w:tr w:rsidR="00B9228B" w:rsidRPr="00B9228B" w:rsidTr="008307E3">
        <w:trPr>
          <w:trHeight w:val="155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B92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7" w:history="1">
              <w:r w:rsidRPr="00B92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8" w:history="1">
              <w:r w:rsidRPr="00B92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9228B" w:rsidRPr="00B9228B" w:rsidTr="008307E3">
        <w:trPr>
          <w:trHeight w:val="25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8B4B4F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</w:t>
            </w:r>
            <w:r w:rsidR="008B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гляді довідки у довільній формі.</w:t>
            </w:r>
          </w:p>
        </w:tc>
      </w:tr>
    </w:tbl>
    <w:bookmarkEnd w:id="1"/>
    <w:p w:rsidR="00B9228B" w:rsidRPr="00B9228B" w:rsidRDefault="00B9228B" w:rsidP="00B9228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B9228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B9228B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9228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B9228B" w:rsidRPr="00B9228B" w:rsidRDefault="00B9228B" w:rsidP="00B9228B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9228B" w:rsidRPr="00B9228B" w:rsidRDefault="00B9228B" w:rsidP="00B9228B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491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710"/>
        <w:gridCol w:w="9781"/>
      </w:tblGrid>
      <w:tr w:rsidR="00B9228B" w:rsidRPr="00B9228B" w:rsidTr="00B9228B">
        <w:trPr>
          <w:trHeight w:val="124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9228B" w:rsidRPr="00492681" w:rsidTr="008307E3">
        <w:trPr>
          <w:trHeight w:val="8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  <w:p w:rsidR="00B9228B" w:rsidRPr="00B9228B" w:rsidRDefault="00B9228B" w:rsidP="00B9228B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9228B" w:rsidRPr="00B9228B" w:rsidTr="008307E3">
        <w:trPr>
          <w:trHeight w:val="14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2</w:t>
            </w: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  <w:p w:rsidR="00B9228B" w:rsidRPr="00B9228B" w:rsidRDefault="00B9228B" w:rsidP="00B9228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9228B" w:rsidRPr="00B9228B" w:rsidRDefault="00B9228B" w:rsidP="00B9228B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Замість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довідки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довільної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може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чинну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ліцензію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дозвільного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характеру.</w:t>
            </w:r>
          </w:p>
        </w:tc>
      </w:tr>
      <w:tr w:rsidR="00B9228B" w:rsidRPr="00B9228B" w:rsidTr="008307E3">
        <w:trPr>
          <w:trHeight w:val="14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 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  <w:r w:rsidRPr="00B92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систему оподаткування учасника (платник податку на </w:t>
            </w:r>
            <w:proofErr w:type="spellStart"/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прибутокна</w:t>
            </w:r>
            <w:proofErr w:type="spellEnd"/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загальних підставах/латник ПДВ/платник єдиного податку);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суб’єкту господарювання (суб’єкт мікропідприємства або малого/середнього/великого підприємства/ не є суб’єктом підприємництва).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B922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B9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3.4.Документи, що підтверджують повноваження посадової особи або представника учасника процедури закупівлі щодо підпису документів тендерної пропозиції/договору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3.5. Копія паспорту та копія довідки про присвоєння ідентифікаційного коду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 </w:t>
            </w:r>
          </w:p>
          <w:p w:rsidR="00B9228B" w:rsidRPr="00B9228B" w:rsidRDefault="00B9228B" w:rsidP="00B9228B">
            <w:pPr>
              <w:ind w:left="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довкілля.</w:t>
            </w:r>
          </w:p>
          <w:p w:rsidR="008307E3" w:rsidRPr="00B9228B" w:rsidRDefault="00981DC1" w:rsidP="00492681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3.7.</w:t>
            </w:r>
            <w:r w:rsidR="00EC4A03" w:rsidRPr="00981DC1">
              <w:t xml:space="preserve"> 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Учасники закупівлі повинні при підготовці тендерної пропозиції враховувати та дотримуватись позиції Уповноваженого органу щодо роз'яснень окремих положень законодавства у сфері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Зокрема, Учасники повинні підтвердити свою відповідність вимогам етичної поведінки під час здійснення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згідно чинних рекомендацій Мінекономіки для учасників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3 огляду на це  учасники подають у складі</w:t>
            </w:r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тендерної пропозиції документи,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 підтверджують запровадження на підприємстві учасника політики щодо етичної поведінки під час </w:t>
            </w:r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здійснення публічних </w:t>
            </w:r>
            <w:proofErr w:type="spellStart"/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добросовісної конкуренції. Надати  документи,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а також настанови (інструкція програма) щодо виконання вказаної політики за рекомендованою формою.</w:t>
            </w:r>
            <w:bookmarkStart w:id="2" w:name="_GoBack"/>
            <w:bookmarkEnd w:id="2"/>
          </w:p>
        </w:tc>
      </w:tr>
    </w:tbl>
    <w:p w:rsidR="000B55A6" w:rsidRPr="00B9228B" w:rsidRDefault="000B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B55A6" w:rsidRPr="00B9228B" w:rsidSect="008B6DD6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7728"/>
    <w:multiLevelType w:val="hybridMultilevel"/>
    <w:tmpl w:val="1FC4FB26"/>
    <w:lvl w:ilvl="0" w:tplc="8D50E00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70" w:hanging="360"/>
      </w:pPr>
    </w:lvl>
    <w:lvl w:ilvl="2" w:tplc="2000001B" w:tentative="1">
      <w:start w:val="1"/>
      <w:numFmt w:val="lowerRoman"/>
      <w:lvlText w:val="%3."/>
      <w:lvlJc w:val="right"/>
      <w:pPr>
        <w:ind w:left="2390" w:hanging="180"/>
      </w:pPr>
    </w:lvl>
    <w:lvl w:ilvl="3" w:tplc="2000000F" w:tentative="1">
      <w:start w:val="1"/>
      <w:numFmt w:val="decimal"/>
      <w:lvlText w:val="%4."/>
      <w:lvlJc w:val="left"/>
      <w:pPr>
        <w:ind w:left="3110" w:hanging="360"/>
      </w:pPr>
    </w:lvl>
    <w:lvl w:ilvl="4" w:tplc="20000019" w:tentative="1">
      <w:start w:val="1"/>
      <w:numFmt w:val="lowerLetter"/>
      <w:lvlText w:val="%5."/>
      <w:lvlJc w:val="left"/>
      <w:pPr>
        <w:ind w:left="3830" w:hanging="360"/>
      </w:pPr>
    </w:lvl>
    <w:lvl w:ilvl="5" w:tplc="2000001B" w:tentative="1">
      <w:start w:val="1"/>
      <w:numFmt w:val="lowerRoman"/>
      <w:lvlText w:val="%6."/>
      <w:lvlJc w:val="right"/>
      <w:pPr>
        <w:ind w:left="4550" w:hanging="180"/>
      </w:pPr>
    </w:lvl>
    <w:lvl w:ilvl="6" w:tplc="2000000F" w:tentative="1">
      <w:start w:val="1"/>
      <w:numFmt w:val="decimal"/>
      <w:lvlText w:val="%7."/>
      <w:lvlJc w:val="left"/>
      <w:pPr>
        <w:ind w:left="5270" w:hanging="360"/>
      </w:pPr>
    </w:lvl>
    <w:lvl w:ilvl="7" w:tplc="20000019" w:tentative="1">
      <w:start w:val="1"/>
      <w:numFmt w:val="lowerLetter"/>
      <w:lvlText w:val="%8."/>
      <w:lvlJc w:val="left"/>
      <w:pPr>
        <w:ind w:left="5990" w:hanging="360"/>
      </w:pPr>
    </w:lvl>
    <w:lvl w:ilvl="8" w:tplc="200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10C31A4"/>
    <w:multiLevelType w:val="hybridMultilevel"/>
    <w:tmpl w:val="BE20498E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76FC65EA"/>
    <w:multiLevelType w:val="hybridMultilevel"/>
    <w:tmpl w:val="AC6080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06E53"/>
    <w:rsid w:val="000B55A6"/>
    <w:rsid w:val="000C1A5A"/>
    <w:rsid w:val="000D42B1"/>
    <w:rsid w:val="001B469B"/>
    <w:rsid w:val="001C08D0"/>
    <w:rsid w:val="001E5408"/>
    <w:rsid w:val="001F5326"/>
    <w:rsid w:val="00251D26"/>
    <w:rsid w:val="00291F4B"/>
    <w:rsid w:val="002B0B5E"/>
    <w:rsid w:val="002D1211"/>
    <w:rsid w:val="002D19D7"/>
    <w:rsid w:val="00431002"/>
    <w:rsid w:val="0046161A"/>
    <w:rsid w:val="00463720"/>
    <w:rsid w:val="00492681"/>
    <w:rsid w:val="00496D55"/>
    <w:rsid w:val="004B0B53"/>
    <w:rsid w:val="00524830"/>
    <w:rsid w:val="00527097"/>
    <w:rsid w:val="00560364"/>
    <w:rsid w:val="005A0931"/>
    <w:rsid w:val="005C251D"/>
    <w:rsid w:val="005C2E5F"/>
    <w:rsid w:val="005F7C43"/>
    <w:rsid w:val="006243F7"/>
    <w:rsid w:val="00641EDC"/>
    <w:rsid w:val="006E00B5"/>
    <w:rsid w:val="00734936"/>
    <w:rsid w:val="008307E3"/>
    <w:rsid w:val="008B4B4F"/>
    <w:rsid w:val="008B6DD6"/>
    <w:rsid w:val="00941614"/>
    <w:rsid w:val="00981DC1"/>
    <w:rsid w:val="00994B8F"/>
    <w:rsid w:val="00A54590"/>
    <w:rsid w:val="00A56892"/>
    <w:rsid w:val="00AE54B1"/>
    <w:rsid w:val="00AF2B5D"/>
    <w:rsid w:val="00B26654"/>
    <w:rsid w:val="00B9228B"/>
    <w:rsid w:val="00BC38E1"/>
    <w:rsid w:val="00BE7587"/>
    <w:rsid w:val="00C24884"/>
    <w:rsid w:val="00C53E4C"/>
    <w:rsid w:val="00C55AEE"/>
    <w:rsid w:val="00CE4968"/>
    <w:rsid w:val="00D26FD9"/>
    <w:rsid w:val="00D36644"/>
    <w:rsid w:val="00DE306C"/>
    <w:rsid w:val="00E07289"/>
    <w:rsid w:val="00E1434A"/>
    <w:rsid w:val="00EC4A03"/>
    <w:rsid w:val="00EE08E6"/>
    <w:rsid w:val="00EF3901"/>
    <w:rsid w:val="00F0789E"/>
    <w:rsid w:val="00F102DB"/>
    <w:rsid w:val="00F30853"/>
    <w:rsid w:val="00F91B60"/>
    <w:rsid w:val="00F96CD8"/>
    <w:rsid w:val="00FA519C"/>
    <w:rsid w:val="00FB0E54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checkStatus" TargetMode="External"/><Relationship Id="rId3" Type="http://schemas.openxmlformats.org/officeDocument/2006/relationships/styles" Target="style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2</cp:revision>
  <dcterms:created xsi:type="dcterms:W3CDTF">2024-01-23T08:23:00Z</dcterms:created>
  <dcterms:modified xsi:type="dcterms:W3CDTF">2024-01-23T08:23:00Z</dcterms:modified>
</cp:coreProperties>
</file>