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96" w:rsidRPr="00680296" w:rsidRDefault="00680296" w:rsidP="00680296">
      <w:pPr>
        <w:jc w:val="right"/>
        <w:rPr>
          <w:b/>
        </w:rPr>
      </w:pPr>
      <w:r w:rsidRPr="00680296">
        <w:rPr>
          <w:b/>
        </w:rPr>
        <w:t>Додаток №1</w:t>
      </w:r>
    </w:p>
    <w:p w:rsidR="00680296" w:rsidRPr="00A30E2C" w:rsidRDefault="00680296" w:rsidP="00680296">
      <w:pPr>
        <w:jc w:val="right"/>
        <w:rPr>
          <w:b/>
        </w:rPr>
      </w:pPr>
      <w:r w:rsidRPr="008C456B">
        <w:rPr>
          <w:b/>
        </w:rPr>
        <w:t xml:space="preserve">до </w:t>
      </w:r>
      <w:r w:rsidRPr="00A30E2C">
        <w:rPr>
          <w:b/>
        </w:rPr>
        <w:t>протоколу №</w:t>
      </w:r>
      <w:r w:rsidR="002D5BEC">
        <w:rPr>
          <w:b/>
        </w:rPr>
        <w:t>14</w:t>
      </w:r>
      <w:r w:rsidR="00933CE7">
        <w:rPr>
          <w:b/>
        </w:rPr>
        <w:t>6</w:t>
      </w:r>
      <w:r w:rsidRPr="00A30E2C">
        <w:rPr>
          <w:b/>
        </w:rPr>
        <w:t xml:space="preserve"> від «</w:t>
      </w:r>
      <w:r w:rsidR="001C70CB">
        <w:rPr>
          <w:b/>
        </w:rPr>
        <w:t>1</w:t>
      </w:r>
      <w:r w:rsidR="00443CEF">
        <w:rPr>
          <w:b/>
        </w:rPr>
        <w:t>3</w:t>
      </w:r>
      <w:r w:rsidRPr="00A30E2C">
        <w:rPr>
          <w:b/>
        </w:rPr>
        <w:t>»</w:t>
      </w:r>
      <w:r w:rsidR="00DB7F45">
        <w:rPr>
          <w:b/>
        </w:rPr>
        <w:t xml:space="preserve"> </w:t>
      </w:r>
      <w:r w:rsidR="001C70CB">
        <w:rPr>
          <w:b/>
        </w:rPr>
        <w:t>грудня</w:t>
      </w:r>
      <w:r w:rsidRPr="00A30E2C">
        <w:rPr>
          <w:b/>
        </w:rPr>
        <w:t xml:space="preserve"> 202</w:t>
      </w:r>
      <w:r w:rsidR="008E66D1" w:rsidRPr="00A30E2C">
        <w:rPr>
          <w:b/>
        </w:rPr>
        <w:t>3</w:t>
      </w:r>
      <w:r w:rsidRPr="00A30E2C">
        <w:rPr>
          <w:b/>
        </w:rPr>
        <w:t>р.</w:t>
      </w:r>
    </w:p>
    <w:p w:rsidR="008D3271" w:rsidRPr="00A30E2C" w:rsidRDefault="008D3271" w:rsidP="008D3271">
      <w:pPr>
        <w:jc w:val="center"/>
        <w:rPr>
          <w:b/>
        </w:rPr>
      </w:pPr>
      <w:r w:rsidRPr="00A30E2C">
        <w:rPr>
          <w:b/>
        </w:rPr>
        <w:t>Зміни внесені до тендерної документації</w:t>
      </w:r>
    </w:p>
    <w:p w:rsidR="00680296" w:rsidRPr="00A30E2C" w:rsidRDefault="008D3271" w:rsidP="00680296">
      <w:pPr>
        <w:jc w:val="center"/>
        <w:rPr>
          <w:b/>
          <w:bCs/>
          <w:iCs/>
        </w:rPr>
      </w:pPr>
      <w:r w:rsidRPr="00A30E2C">
        <w:rPr>
          <w:b/>
        </w:rPr>
        <w:t xml:space="preserve">щодо закупівлі </w:t>
      </w:r>
      <w:r w:rsidR="00933CE7" w:rsidRPr="00F75A4C">
        <w:rPr>
          <w:b/>
          <w:bCs/>
        </w:rPr>
        <w:t>«код ДК 021:2015 - 15510000-6 «Молоко та вершки» (Молоко коров’яче  питне пастеризоване)»</w:t>
      </w:r>
    </w:p>
    <w:p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rsidTr="00F35BAF">
        <w:trPr>
          <w:trHeight w:val="480"/>
        </w:trPr>
        <w:tc>
          <w:tcPr>
            <w:tcW w:w="518" w:type="dxa"/>
            <w:vAlign w:val="center"/>
          </w:tcPr>
          <w:p w:rsidR="00680296" w:rsidRPr="00A30E2C" w:rsidRDefault="00680296" w:rsidP="00083A1F">
            <w:pPr>
              <w:jc w:val="center"/>
              <w:rPr>
                <w:b/>
                <w:sz w:val="20"/>
                <w:szCs w:val="20"/>
              </w:rPr>
            </w:pPr>
            <w:r w:rsidRPr="00A30E2C">
              <w:rPr>
                <w:b/>
                <w:sz w:val="20"/>
                <w:szCs w:val="20"/>
              </w:rPr>
              <w:t>№</w:t>
            </w:r>
          </w:p>
          <w:p w:rsidR="00680296" w:rsidRPr="00A30E2C" w:rsidRDefault="00680296" w:rsidP="00083A1F">
            <w:pPr>
              <w:jc w:val="center"/>
              <w:rPr>
                <w:b/>
                <w:sz w:val="20"/>
                <w:szCs w:val="20"/>
              </w:rPr>
            </w:pPr>
            <w:r w:rsidRPr="00A30E2C">
              <w:rPr>
                <w:b/>
                <w:sz w:val="20"/>
                <w:szCs w:val="20"/>
              </w:rPr>
              <w:t>з/п</w:t>
            </w:r>
          </w:p>
        </w:tc>
        <w:tc>
          <w:tcPr>
            <w:tcW w:w="1184" w:type="dxa"/>
            <w:vAlign w:val="center"/>
          </w:tcPr>
          <w:p w:rsidR="00680296" w:rsidRPr="00A30E2C" w:rsidRDefault="00680296" w:rsidP="00083A1F">
            <w:pPr>
              <w:jc w:val="center"/>
              <w:rPr>
                <w:b/>
                <w:sz w:val="20"/>
                <w:szCs w:val="20"/>
              </w:rPr>
            </w:pPr>
            <w:r w:rsidRPr="00A30E2C">
              <w:rPr>
                <w:b/>
                <w:sz w:val="20"/>
                <w:szCs w:val="20"/>
              </w:rPr>
              <w:t>Пункт ТД</w:t>
            </w:r>
          </w:p>
        </w:tc>
        <w:tc>
          <w:tcPr>
            <w:tcW w:w="6945" w:type="dxa"/>
            <w:vAlign w:val="center"/>
          </w:tcPr>
          <w:p w:rsidR="00680296" w:rsidRPr="00A30E2C" w:rsidRDefault="00680296" w:rsidP="005E724C">
            <w:pPr>
              <w:jc w:val="center"/>
              <w:rPr>
                <w:b/>
                <w:sz w:val="20"/>
                <w:szCs w:val="20"/>
              </w:rPr>
            </w:pPr>
            <w:r w:rsidRPr="00A30E2C">
              <w:rPr>
                <w:b/>
                <w:sz w:val="20"/>
                <w:szCs w:val="20"/>
              </w:rPr>
              <w:t xml:space="preserve">редакція від </w:t>
            </w:r>
            <w:r w:rsidR="001C70CB">
              <w:rPr>
                <w:b/>
                <w:sz w:val="20"/>
                <w:szCs w:val="20"/>
              </w:rPr>
              <w:t>12</w:t>
            </w:r>
            <w:r w:rsidRPr="00A30E2C">
              <w:rPr>
                <w:b/>
                <w:sz w:val="20"/>
                <w:szCs w:val="20"/>
              </w:rPr>
              <w:t>.</w:t>
            </w:r>
            <w:r w:rsidR="001C70CB">
              <w:rPr>
                <w:b/>
                <w:sz w:val="20"/>
                <w:szCs w:val="20"/>
              </w:rPr>
              <w:t>12</w:t>
            </w:r>
            <w:r w:rsidRPr="00A30E2C">
              <w:rPr>
                <w:b/>
                <w:sz w:val="20"/>
                <w:szCs w:val="20"/>
              </w:rPr>
              <w:t>.202</w:t>
            </w:r>
            <w:r w:rsidR="008E66D1" w:rsidRPr="00A30E2C">
              <w:rPr>
                <w:b/>
                <w:sz w:val="20"/>
                <w:szCs w:val="20"/>
              </w:rPr>
              <w:t>3</w:t>
            </w:r>
            <w:r w:rsidR="00930C61" w:rsidRPr="00A30E2C">
              <w:rPr>
                <w:b/>
                <w:sz w:val="20"/>
                <w:szCs w:val="20"/>
              </w:rPr>
              <w:t>р.</w:t>
            </w:r>
          </w:p>
        </w:tc>
        <w:tc>
          <w:tcPr>
            <w:tcW w:w="7654" w:type="dxa"/>
            <w:vAlign w:val="center"/>
          </w:tcPr>
          <w:p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1C70CB">
              <w:rPr>
                <w:b/>
                <w:sz w:val="20"/>
                <w:szCs w:val="20"/>
              </w:rPr>
              <w:t>1</w:t>
            </w:r>
            <w:r w:rsidR="00443CEF">
              <w:rPr>
                <w:b/>
                <w:sz w:val="20"/>
                <w:szCs w:val="20"/>
              </w:rPr>
              <w:t>3</w:t>
            </w:r>
            <w:r w:rsidRPr="00A30E2C">
              <w:rPr>
                <w:b/>
                <w:sz w:val="20"/>
                <w:szCs w:val="20"/>
              </w:rPr>
              <w:t>.</w:t>
            </w:r>
            <w:r w:rsidR="00DB7F45">
              <w:rPr>
                <w:b/>
                <w:sz w:val="20"/>
                <w:szCs w:val="20"/>
              </w:rPr>
              <w:t>1</w:t>
            </w:r>
            <w:r w:rsidR="001C70CB">
              <w:rPr>
                <w:b/>
                <w:sz w:val="20"/>
                <w:szCs w:val="20"/>
              </w:rPr>
              <w:t>2</w:t>
            </w:r>
            <w:r w:rsidRPr="00A30E2C">
              <w:rPr>
                <w:b/>
                <w:sz w:val="20"/>
                <w:szCs w:val="20"/>
              </w:rPr>
              <w:t>.202</w:t>
            </w:r>
            <w:r w:rsidR="008E66D1" w:rsidRPr="00A30E2C">
              <w:rPr>
                <w:b/>
                <w:sz w:val="20"/>
                <w:szCs w:val="20"/>
              </w:rPr>
              <w:t>3</w:t>
            </w:r>
          </w:p>
        </w:tc>
      </w:tr>
      <w:tr w:rsidR="008C456B" w:rsidRPr="008C456B" w:rsidTr="00443CEF">
        <w:trPr>
          <w:trHeight w:val="1796"/>
        </w:trPr>
        <w:tc>
          <w:tcPr>
            <w:tcW w:w="518" w:type="dxa"/>
            <w:vAlign w:val="center"/>
          </w:tcPr>
          <w:p w:rsidR="00680296" w:rsidRPr="00A30E2C" w:rsidRDefault="00680296" w:rsidP="00083A1F">
            <w:pPr>
              <w:jc w:val="center"/>
              <w:rPr>
                <w:b/>
                <w:sz w:val="22"/>
                <w:szCs w:val="22"/>
              </w:rPr>
            </w:pPr>
            <w:r w:rsidRPr="00A30E2C">
              <w:rPr>
                <w:b/>
                <w:sz w:val="22"/>
                <w:szCs w:val="22"/>
              </w:rPr>
              <w:t>1</w:t>
            </w:r>
          </w:p>
        </w:tc>
        <w:tc>
          <w:tcPr>
            <w:tcW w:w="1184" w:type="dxa"/>
            <w:vAlign w:val="center"/>
          </w:tcPr>
          <w:p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rsidR="00870BB2" w:rsidRPr="00A30E2C" w:rsidRDefault="00870BB2" w:rsidP="001C70CB">
            <w:pPr>
              <w:shd w:val="clear" w:color="auto" w:fill="FFFFFF"/>
              <w:jc w:val="both"/>
              <w:textAlignment w:val="baseline"/>
              <w:rPr>
                <w:b/>
                <w:sz w:val="22"/>
                <w:szCs w:val="22"/>
              </w:rPr>
            </w:pPr>
            <w:r w:rsidRPr="00A30E2C">
              <w:rPr>
                <w:b/>
                <w:sz w:val="22"/>
                <w:szCs w:val="22"/>
              </w:rPr>
              <w:t>ЗАТВЕРДЖЕНО</w:t>
            </w:r>
          </w:p>
          <w:p w:rsidR="00870BB2" w:rsidRPr="00A30E2C" w:rsidRDefault="00870BB2" w:rsidP="001C70CB">
            <w:pPr>
              <w:shd w:val="clear" w:color="auto" w:fill="FFFFFF"/>
              <w:jc w:val="both"/>
              <w:textAlignment w:val="baseline"/>
              <w:rPr>
                <w:sz w:val="22"/>
                <w:szCs w:val="22"/>
              </w:rPr>
            </w:pPr>
            <w:r w:rsidRPr="00A30E2C">
              <w:rPr>
                <w:sz w:val="22"/>
                <w:szCs w:val="22"/>
              </w:rPr>
              <w:t>Рішенням уповноваженої особи</w:t>
            </w:r>
          </w:p>
          <w:p w:rsidR="00E81FCB" w:rsidRPr="00A30E2C" w:rsidRDefault="00E81FCB" w:rsidP="001C70CB">
            <w:pPr>
              <w:rPr>
                <w:b/>
                <w:bCs/>
                <w:iCs/>
              </w:rPr>
            </w:pPr>
            <w:r w:rsidRPr="00A30E2C">
              <w:rPr>
                <w:b/>
                <w:bCs/>
                <w:iCs/>
              </w:rPr>
              <w:t>Протокол  №</w:t>
            </w:r>
            <w:r w:rsidR="00DB7F45">
              <w:rPr>
                <w:b/>
                <w:bCs/>
                <w:iCs/>
              </w:rPr>
              <w:t>1</w:t>
            </w:r>
            <w:r w:rsidR="001C70CB">
              <w:rPr>
                <w:b/>
                <w:bCs/>
                <w:iCs/>
              </w:rPr>
              <w:t>38</w:t>
            </w:r>
            <w:r w:rsidRPr="00A30E2C">
              <w:rPr>
                <w:b/>
                <w:bCs/>
                <w:iCs/>
              </w:rPr>
              <w:t xml:space="preserve"> від «</w:t>
            </w:r>
            <w:r w:rsidR="001C70CB">
              <w:rPr>
                <w:b/>
                <w:bCs/>
                <w:iCs/>
              </w:rPr>
              <w:t>12</w:t>
            </w:r>
            <w:r w:rsidRPr="00A30E2C">
              <w:rPr>
                <w:b/>
                <w:bCs/>
                <w:iCs/>
              </w:rPr>
              <w:t xml:space="preserve">» </w:t>
            </w:r>
            <w:r w:rsidR="001C70CB">
              <w:rPr>
                <w:b/>
                <w:bCs/>
                <w:iCs/>
              </w:rPr>
              <w:t>грудня</w:t>
            </w:r>
            <w:r w:rsidR="008E66D1" w:rsidRPr="00A30E2C">
              <w:rPr>
                <w:b/>
                <w:bCs/>
                <w:iCs/>
              </w:rPr>
              <w:t xml:space="preserve"> 2023</w:t>
            </w:r>
            <w:r w:rsidRPr="00A30E2C">
              <w:rPr>
                <w:b/>
                <w:bCs/>
                <w:iCs/>
              </w:rPr>
              <w:t xml:space="preserve"> року</w:t>
            </w:r>
          </w:p>
          <w:p w:rsidR="00680296" w:rsidRPr="00A30E2C" w:rsidRDefault="00DB7F45" w:rsidP="001C70CB">
            <w:pPr>
              <w:shd w:val="clear" w:color="auto" w:fill="FFFFFF"/>
              <w:jc w:val="both"/>
              <w:textAlignment w:val="baseline"/>
              <w:rPr>
                <w:b/>
                <w:sz w:val="22"/>
                <w:szCs w:val="22"/>
              </w:rPr>
            </w:pPr>
            <w:r w:rsidRPr="00DB7F45">
              <w:rPr>
                <w:b/>
                <w:sz w:val="22"/>
                <w:szCs w:val="22"/>
              </w:rPr>
              <w:t xml:space="preserve">______________ </w:t>
            </w:r>
            <w:proofErr w:type="spellStart"/>
            <w:r w:rsidR="001C70CB" w:rsidRPr="001C70CB">
              <w:rPr>
                <w:b/>
                <w:sz w:val="22"/>
                <w:szCs w:val="22"/>
              </w:rPr>
              <w:t>Матніязова</w:t>
            </w:r>
            <w:proofErr w:type="spellEnd"/>
            <w:r w:rsidR="001C70CB" w:rsidRPr="001C70CB">
              <w:rPr>
                <w:b/>
                <w:sz w:val="22"/>
                <w:szCs w:val="22"/>
              </w:rPr>
              <w:t xml:space="preserve"> Л.Я.</w:t>
            </w:r>
          </w:p>
        </w:tc>
        <w:tc>
          <w:tcPr>
            <w:tcW w:w="7654" w:type="dxa"/>
            <w:vAlign w:val="center"/>
          </w:tcPr>
          <w:p w:rsidR="00870BB2" w:rsidRPr="001C70CB" w:rsidRDefault="00870BB2" w:rsidP="00870BB2">
            <w:r w:rsidRPr="00A30E2C">
              <w:rPr>
                <w:b/>
                <w:bCs/>
                <w:iCs/>
              </w:rPr>
              <w:t>ЗАТВЕРДЖЕНО ЗМІНИ</w:t>
            </w:r>
          </w:p>
          <w:p w:rsidR="00870BB2" w:rsidRPr="00A30E2C" w:rsidRDefault="00870BB2" w:rsidP="00870BB2">
            <w:pPr>
              <w:rPr>
                <w:bCs/>
                <w:iCs/>
              </w:rPr>
            </w:pPr>
            <w:r w:rsidRPr="00A30E2C">
              <w:rPr>
                <w:bCs/>
                <w:iCs/>
              </w:rPr>
              <w:t>Рішенням уповноваженої особи</w:t>
            </w:r>
          </w:p>
          <w:p w:rsidR="00870BB2" w:rsidRPr="008C456B" w:rsidRDefault="00870BB2" w:rsidP="00870BB2">
            <w:pPr>
              <w:rPr>
                <w:b/>
                <w:bCs/>
                <w:iCs/>
              </w:rPr>
            </w:pPr>
            <w:r w:rsidRPr="00A30E2C">
              <w:rPr>
                <w:b/>
                <w:bCs/>
                <w:iCs/>
              </w:rPr>
              <w:t>Протокол  №</w:t>
            </w:r>
            <w:r w:rsidR="002D5BEC">
              <w:rPr>
                <w:b/>
                <w:bCs/>
                <w:iCs/>
              </w:rPr>
              <w:t>14</w:t>
            </w:r>
            <w:r w:rsidR="00933CE7">
              <w:rPr>
                <w:b/>
                <w:bCs/>
                <w:iCs/>
              </w:rPr>
              <w:t>6</w:t>
            </w:r>
            <w:r w:rsidR="00244EB1" w:rsidRPr="00A30E2C">
              <w:rPr>
                <w:b/>
                <w:bCs/>
                <w:iCs/>
              </w:rPr>
              <w:t xml:space="preserve"> </w:t>
            </w:r>
            <w:r w:rsidRPr="00A30E2C">
              <w:rPr>
                <w:b/>
                <w:bCs/>
                <w:iCs/>
              </w:rPr>
              <w:t>від «</w:t>
            </w:r>
            <w:r w:rsidR="001C70CB">
              <w:rPr>
                <w:b/>
                <w:bCs/>
                <w:iCs/>
              </w:rPr>
              <w:t>1</w:t>
            </w:r>
            <w:r w:rsidR="00443CEF">
              <w:rPr>
                <w:b/>
                <w:bCs/>
                <w:iCs/>
              </w:rPr>
              <w:t>3</w:t>
            </w:r>
            <w:r w:rsidRPr="00A30E2C">
              <w:rPr>
                <w:b/>
                <w:bCs/>
                <w:iCs/>
              </w:rPr>
              <w:t xml:space="preserve">» </w:t>
            </w:r>
            <w:r w:rsidR="001C70CB">
              <w:rPr>
                <w:b/>
                <w:bCs/>
                <w:iCs/>
              </w:rPr>
              <w:t>грудня</w:t>
            </w:r>
            <w:r w:rsidR="008E66D1" w:rsidRPr="00A30E2C">
              <w:rPr>
                <w:b/>
                <w:bCs/>
                <w:iCs/>
              </w:rPr>
              <w:t xml:space="preserve"> 2023</w:t>
            </w:r>
            <w:r w:rsidRPr="00A30E2C">
              <w:rPr>
                <w:b/>
                <w:bCs/>
                <w:iCs/>
              </w:rPr>
              <w:t xml:space="preserve"> року</w:t>
            </w:r>
          </w:p>
          <w:p w:rsidR="00680296" w:rsidRPr="008C456B" w:rsidRDefault="00DB7F45" w:rsidP="00870BB2">
            <w:pPr>
              <w:rPr>
                <w:b/>
                <w:sz w:val="22"/>
                <w:szCs w:val="22"/>
              </w:rPr>
            </w:pPr>
            <w:r w:rsidRPr="00DB7F45">
              <w:rPr>
                <w:b/>
                <w:sz w:val="22"/>
                <w:szCs w:val="22"/>
              </w:rPr>
              <w:t xml:space="preserve">______________ </w:t>
            </w:r>
            <w:proofErr w:type="spellStart"/>
            <w:r w:rsidR="001C70CB" w:rsidRPr="001C70CB">
              <w:rPr>
                <w:b/>
                <w:sz w:val="22"/>
                <w:szCs w:val="22"/>
              </w:rPr>
              <w:t>Матніязова</w:t>
            </w:r>
            <w:proofErr w:type="spellEnd"/>
            <w:r w:rsidR="001C70CB" w:rsidRPr="001C70CB">
              <w:rPr>
                <w:b/>
                <w:sz w:val="22"/>
                <w:szCs w:val="22"/>
              </w:rPr>
              <w:t xml:space="preserve"> Л.Я.</w:t>
            </w:r>
          </w:p>
        </w:tc>
      </w:tr>
      <w:tr w:rsidR="0071276E" w:rsidRPr="00D80836" w:rsidTr="00443CEF">
        <w:trPr>
          <w:trHeight w:val="1000"/>
        </w:trPr>
        <w:tc>
          <w:tcPr>
            <w:tcW w:w="518" w:type="dxa"/>
            <w:vAlign w:val="center"/>
          </w:tcPr>
          <w:p w:rsidR="0071276E" w:rsidRDefault="001C70CB" w:rsidP="00083A1F">
            <w:pPr>
              <w:jc w:val="center"/>
              <w:rPr>
                <w:b/>
                <w:color w:val="000000"/>
                <w:sz w:val="22"/>
                <w:szCs w:val="22"/>
              </w:rPr>
            </w:pPr>
            <w:r>
              <w:rPr>
                <w:b/>
                <w:color w:val="000000"/>
                <w:sz w:val="22"/>
                <w:szCs w:val="22"/>
              </w:rPr>
              <w:t>2</w:t>
            </w:r>
          </w:p>
        </w:tc>
        <w:tc>
          <w:tcPr>
            <w:tcW w:w="1184" w:type="dxa"/>
            <w:vAlign w:val="center"/>
          </w:tcPr>
          <w:p w:rsidR="0071276E" w:rsidRDefault="0071276E" w:rsidP="00083A1F">
            <w:pPr>
              <w:rPr>
                <w:b/>
                <w:color w:val="000000"/>
                <w:sz w:val="20"/>
                <w:szCs w:val="20"/>
              </w:rPr>
            </w:pPr>
            <w:r>
              <w:rPr>
                <w:b/>
                <w:color w:val="000000"/>
                <w:sz w:val="20"/>
                <w:szCs w:val="20"/>
              </w:rPr>
              <w:t>В новій редакції</w:t>
            </w:r>
          </w:p>
          <w:p w:rsidR="0071276E" w:rsidRDefault="001C70CB" w:rsidP="00083A1F">
            <w:pPr>
              <w:rPr>
                <w:b/>
                <w:color w:val="000000"/>
                <w:sz w:val="20"/>
                <w:szCs w:val="20"/>
              </w:rPr>
            </w:pPr>
            <w:r>
              <w:rPr>
                <w:b/>
                <w:color w:val="000000"/>
                <w:sz w:val="20"/>
                <w:szCs w:val="20"/>
              </w:rPr>
              <w:t xml:space="preserve">п.1 кваліфікаційні критерії п.п.3.5.2. п. 5 ТД </w:t>
            </w:r>
          </w:p>
        </w:tc>
        <w:tc>
          <w:tcPr>
            <w:tcW w:w="6945" w:type="dxa"/>
            <w:vAlign w:val="center"/>
          </w:tcPr>
          <w:p w:rsidR="001C70CB" w:rsidRPr="001C70CB" w:rsidRDefault="001C70CB" w:rsidP="001C70CB">
            <w:pPr>
              <w:widowControl w:val="0"/>
              <w:autoSpaceDE w:val="0"/>
              <w:jc w:val="both"/>
              <w:rPr>
                <w:rFonts w:cs="Times New Roman CYR"/>
                <w:lang w:eastAsia="zh-CN"/>
              </w:rPr>
            </w:pPr>
            <w:r w:rsidRPr="001C70CB">
              <w:rPr>
                <w:lang w:eastAsia="zh-CN"/>
              </w:rPr>
              <w:t xml:space="preserve">1.1. </w:t>
            </w:r>
            <w:r w:rsidRPr="001C70CB">
              <w:rPr>
                <w:rFonts w:ascii="Times New Roman CYR" w:hAnsi="Times New Roman CYR" w:cs="Times New Roman CYR"/>
                <w:lang w:eastAsia="zh-CN"/>
              </w:rPr>
              <w:t>Довідка, що підтверджує наявність обладнання та матеріально-технічної бази</w:t>
            </w:r>
            <w:r w:rsidRPr="001C70CB">
              <w:rPr>
                <w:lang w:eastAsia="zh-CN"/>
              </w:rPr>
              <w:t>, що необхідні для забезпечення поставки продукції, що є предметом закупівлі</w:t>
            </w:r>
            <w:r w:rsidRPr="001C70CB">
              <w:rPr>
                <w:rFonts w:cs="Times New Roman CYR"/>
                <w:lang w:eastAsia="zh-CN"/>
              </w:rPr>
              <w:t>. У довідці зазначається інформація про наявність в учасника:</w:t>
            </w:r>
            <w:r w:rsidRPr="001C70CB">
              <w:rPr>
                <w:rFonts w:cs="Times New Roman CYR"/>
                <w:b/>
                <w:lang w:eastAsia="zh-CN"/>
              </w:rPr>
              <w:t xml:space="preserve"> </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спеціалізованого автотранспорту для перевезення продуктів харчування у відповідності до предмету закупівлі: </w:t>
            </w:r>
            <w:r w:rsidRPr="001C70CB">
              <w:rPr>
                <w:rFonts w:cs="Times New Roman CYR"/>
                <w:i/>
                <w:lang w:eastAsia="zh-CN"/>
              </w:rPr>
              <w:t>рефрижератор із зазначенням реєстраційного номеру автомобіля та виду (типу) кузову (не менше двох одиниць)</w:t>
            </w:r>
            <w:r w:rsidRPr="001C70CB">
              <w:rPr>
                <w:rFonts w:cs="Times New Roman CYR"/>
                <w:lang w:eastAsia="zh-CN"/>
              </w:rPr>
              <w:t>;</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складського приміщення (із зазначенням температурного режиму) з </w:t>
            </w:r>
            <w:proofErr w:type="spellStart"/>
            <w:r w:rsidRPr="001C70CB">
              <w:rPr>
                <w:rFonts w:cs="Times New Roman CYR"/>
                <w:lang w:eastAsia="zh-CN"/>
              </w:rPr>
              <w:t>адресою</w:t>
            </w:r>
            <w:proofErr w:type="spellEnd"/>
            <w:r w:rsidRPr="001C70CB">
              <w:rPr>
                <w:rFonts w:cs="Times New Roman CYR"/>
                <w:lang w:eastAsia="zh-CN"/>
              </w:rPr>
              <w:t xml:space="preserve"> розташування.</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1.2. На підтвердження права </w:t>
            </w:r>
            <w:r w:rsidRPr="001C70CB">
              <w:rPr>
                <w:lang w:eastAsia="zh-CN"/>
              </w:rPr>
              <w:t>власності чи користування</w:t>
            </w:r>
            <w:r w:rsidRPr="001C70CB">
              <w:rPr>
                <w:rFonts w:cs="Times New Roman CYR"/>
                <w:lang w:eastAsia="zh-CN"/>
              </w:rPr>
              <w:t xml:space="preserve"> транспортними засобами та об’єктами зазначеними у довідці учасники подають копії наступних документів:</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для транспортних засобів: копії </w:t>
            </w:r>
            <w:proofErr w:type="spellStart"/>
            <w:r w:rsidRPr="001C70CB">
              <w:rPr>
                <w:rFonts w:cs="Times New Roman CYR"/>
                <w:lang w:eastAsia="zh-CN"/>
              </w:rPr>
              <w:t>свідоцтв</w:t>
            </w:r>
            <w:proofErr w:type="spellEnd"/>
            <w:r w:rsidRPr="001C70CB">
              <w:rPr>
                <w:rFonts w:cs="Times New Roman CYR"/>
                <w:lang w:eastAsia="zh-CN"/>
              </w:rPr>
              <w:t xml:space="preserve"> про реєстрацію транспортних засобів (що посвідчує право власності учасника) або копії договорів оренди;</w:t>
            </w:r>
          </w:p>
          <w:p w:rsidR="001C70CB" w:rsidRPr="001C70CB" w:rsidRDefault="001C70CB" w:rsidP="001C70CB">
            <w:pPr>
              <w:widowControl w:val="0"/>
              <w:autoSpaceDE w:val="0"/>
              <w:jc w:val="both"/>
              <w:rPr>
                <w:rFonts w:cs="Times New Roman CYR"/>
                <w:color w:val="000000"/>
                <w:lang w:eastAsia="zh-CN"/>
              </w:rPr>
            </w:pPr>
            <w:r w:rsidRPr="001C70CB">
              <w:rPr>
                <w:rFonts w:cs="Times New Roman CYR"/>
                <w:lang w:eastAsia="zh-CN"/>
              </w:rPr>
              <w:t xml:space="preserve">- для нерухомого майна: </w:t>
            </w:r>
            <w:r w:rsidRPr="001C70CB">
              <w:rPr>
                <w:lang w:eastAsia="zh-CN"/>
              </w:rPr>
              <w:t xml:space="preserve">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w:t>
            </w:r>
            <w:r w:rsidRPr="001C70CB">
              <w:rPr>
                <w:color w:val="000000"/>
                <w:lang w:eastAsia="zh-CN"/>
              </w:rPr>
              <w:t>договору оренди (зі строком оренди до кінця  2024 року)</w:t>
            </w:r>
            <w:r w:rsidRPr="001C70CB">
              <w:rPr>
                <w:rFonts w:cs="Times New Roman CYR"/>
                <w:color w:val="000000"/>
                <w:lang w:eastAsia="zh-CN"/>
              </w:rPr>
              <w:t>.</w:t>
            </w:r>
          </w:p>
          <w:p w:rsidR="001C70CB" w:rsidRPr="001C70CB" w:rsidRDefault="001C70CB" w:rsidP="001C70CB">
            <w:pPr>
              <w:widowControl w:val="0"/>
              <w:autoSpaceDE w:val="0"/>
              <w:jc w:val="both"/>
              <w:rPr>
                <w:lang w:eastAsia="zh-CN"/>
              </w:rPr>
            </w:pPr>
            <w:r w:rsidRPr="001C70CB">
              <w:rPr>
                <w:lang w:eastAsia="zh-CN"/>
              </w:rPr>
              <w:t xml:space="preserve">Для підтвердження технічних якостей транспортних засобів Учасник надає документ, що підтверджує проведення калібрування обладнання (датчика температур), яке задіяне в обігу товару, згідно з ст.45 ЗУ «Про основні принципи та вимоги </w:t>
            </w:r>
            <w:r w:rsidRPr="001C70CB">
              <w:rPr>
                <w:lang w:eastAsia="zh-CN"/>
              </w:rPr>
              <w:lastRenderedPageBreak/>
              <w:t>до безпечності та якості харчових продуктів».</w:t>
            </w:r>
          </w:p>
          <w:p w:rsidR="001C70CB" w:rsidRPr="001C70CB" w:rsidRDefault="001C70CB" w:rsidP="001C70CB">
            <w:pPr>
              <w:ind w:firstLine="45"/>
              <w:jc w:val="both"/>
              <w:rPr>
                <w:bCs/>
                <w:lang w:val="ru-RU" w:eastAsia="zh-CN"/>
              </w:rPr>
            </w:pPr>
            <w:r w:rsidRPr="001C70CB">
              <w:rPr>
                <w:bCs/>
                <w:lang w:val="ru-RU" w:eastAsia="zh-CN"/>
              </w:rPr>
              <w:t xml:space="preserve">Для </w:t>
            </w:r>
            <w:proofErr w:type="spellStart"/>
            <w:r w:rsidRPr="001C70CB">
              <w:rPr>
                <w:bCs/>
                <w:lang w:val="ru-RU" w:eastAsia="zh-CN"/>
              </w:rPr>
              <w:t>підтвердження</w:t>
            </w:r>
            <w:proofErr w:type="spellEnd"/>
            <w:r w:rsidRPr="001C70CB">
              <w:rPr>
                <w:bCs/>
                <w:lang w:val="ru-RU" w:eastAsia="zh-CN"/>
              </w:rPr>
              <w:t xml:space="preserve"> </w:t>
            </w:r>
            <w:proofErr w:type="spellStart"/>
            <w:r w:rsidRPr="001C70CB">
              <w:rPr>
                <w:bCs/>
                <w:lang w:val="ru-RU" w:eastAsia="zh-CN"/>
              </w:rPr>
              <w:t>дотримання</w:t>
            </w:r>
            <w:proofErr w:type="spellEnd"/>
            <w:r w:rsidRPr="001C70CB">
              <w:rPr>
                <w:bCs/>
                <w:lang w:val="ru-RU" w:eastAsia="zh-CN"/>
              </w:rPr>
              <w:t xml:space="preserve"> </w:t>
            </w:r>
            <w:proofErr w:type="spellStart"/>
            <w:r w:rsidRPr="001C70CB">
              <w:rPr>
                <w:bCs/>
                <w:lang w:val="ru-RU" w:eastAsia="zh-CN"/>
              </w:rPr>
              <w:t>температурних</w:t>
            </w:r>
            <w:proofErr w:type="spellEnd"/>
            <w:r w:rsidRPr="001C70CB">
              <w:rPr>
                <w:bCs/>
                <w:lang w:val="ru-RU" w:eastAsia="zh-CN"/>
              </w:rPr>
              <w:t xml:space="preserve"> </w:t>
            </w:r>
            <w:proofErr w:type="spellStart"/>
            <w:r w:rsidRPr="001C70CB">
              <w:rPr>
                <w:bCs/>
                <w:lang w:val="ru-RU" w:eastAsia="zh-CN"/>
              </w:rPr>
              <w:t>параметрів</w:t>
            </w:r>
            <w:proofErr w:type="spellEnd"/>
            <w:r w:rsidRPr="001C70CB">
              <w:rPr>
                <w:bCs/>
                <w:lang w:val="ru-RU" w:eastAsia="zh-CN"/>
              </w:rPr>
              <w:t xml:space="preserve"> </w:t>
            </w:r>
            <w:proofErr w:type="spellStart"/>
            <w:r w:rsidRPr="001C70CB">
              <w:rPr>
                <w:bCs/>
                <w:lang w:val="ru-RU" w:eastAsia="zh-CN"/>
              </w:rPr>
              <w:t>Учасник</w:t>
            </w:r>
            <w:proofErr w:type="spellEnd"/>
            <w:r w:rsidRPr="001C70CB">
              <w:rPr>
                <w:bCs/>
                <w:lang w:val="ru-RU" w:eastAsia="zh-CN"/>
              </w:rPr>
              <w:t xml:space="preserve"> </w:t>
            </w:r>
            <w:proofErr w:type="spellStart"/>
            <w:r w:rsidRPr="001C70CB">
              <w:rPr>
                <w:bCs/>
                <w:lang w:val="ru-RU" w:eastAsia="zh-CN"/>
              </w:rPr>
              <w:t>має</w:t>
            </w:r>
            <w:proofErr w:type="spellEnd"/>
            <w:r w:rsidRPr="001C70CB">
              <w:rPr>
                <w:bCs/>
                <w:lang w:val="ru-RU" w:eastAsia="zh-CN"/>
              </w:rPr>
              <w:t xml:space="preserve"> подати </w:t>
            </w:r>
            <w:proofErr w:type="spellStart"/>
            <w:r w:rsidRPr="001C70CB">
              <w:rPr>
                <w:bCs/>
                <w:lang w:val="ru-RU" w:eastAsia="zh-CN"/>
              </w:rPr>
              <w:t>наступні</w:t>
            </w:r>
            <w:proofErr w:type="spellEnd"/>
            <w:r w:rsidRPr="001C70CB">
              <w:rPr>
                <w:bCs/>
                <w:lang w:val="ru-RU" w:eastAsia="zh-CN"/>
              </w:rPr>
              <w:t xml:space="preserve"> </w:t>
            </w:r>
            <w:proofErr w:type="spellStart"/>
            <w:r w:rsidRPr="001C70CB">
              <w:rPr>
                <w:bCs/>
                <w:lang w:val="ru-RU" w:eastAsia="zh-CN"/>
              </w:rPr>
              <w:t>документи</w:t>
            </w:r>
            <w:proofErr w:type="spellEnd"/>
            <w:r w:rsidRPr="001C70CB">
              <w:rPr>
                <w:bCs/>
                <w:lang w:val="ru-RU" w:eastAsia="zh-CN"/>
              </w:rPr>
              <w:t>:</w:t>
            </w:r>
          </w:p>
          <w:p w:rsidR="0071276E" w:rsidRPr="00CA1363" w:rsidRDefault="001C70CB" w:rsidP="001C70CB">
            <w:pPr>
              <w:spacing w:line="264" w:lineRule="auto"/>
              <w:rPr>
                <w:b/>
                <w:color w:val="000000"/>
                <w:sz w:val="20"/>
                <w:szCs w:val="20"/>
              </w:rPr>
            </w:pPr>
            <w:r w:rsidRPr="001C70CB">
              <w:rPr>
                <w:rFonts w:cs="Times New Roman CYR"/>
                <w:bCs/>
                <w:lang w:eastAsia="zh-CN"/>
              </w:rPr>
              <w:t>- 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підтверджуючих документів на проведення таких робіт) на ім’я учасника, та дійсний на момент подання пропозиції.</w:t>
            </w:r>
          </w:p>
        </w:tc>
        <w:tc>
          <w:tcPr>
            <w:tcW w:w="7654" w:type="dxa"/>
            <w:vAlign w:val="center"/>
          </w:tcPr>
          <w:p w:rsidR="001C70CB" w:rsidRPr="001C70CB" w:rsidRDefault="001C70CB" w:rsidP="001C70CB">
            <w:pPr>
              <w:widowControl w:val="0"/>
              <w:autoSpaceDE w:val="0"/>
              <w:jc w:val="both"/>
              <w:rPr>
                <w:rFonts w:cs="Times New Roman CYR"/>
                <w:lang w:eastAsia="zh-CN"/>
              </w:rPr>
            </w:pPr>
            <w:r w:rsidRPr="001C70CB">
              <w:rPr>
                <w:lang w:eastAsia="zh-CN"/>
              </w:rPr>
              <w:lastRenderedPageBreak/>
              <w:t xml:space="preserve">1.1. </w:t>
            </w:r>
            <w:r w:rsidRPr="001C70CB">
              <w:rPr>
                <w:rFonts w:ascii="Times New Roman CYR" w:hAnsi="Times New Roman CYR" w:cs="Times New Roman CYR"/>
                <w:lang w:eastAsia="zh-CN"/>
              </w:rPr>
              <w:t>Довідка, що підтверджує наявність обладнання та матеріально-технічної бази</w:t>
            </w:r>
            <w:r w:rsidRPr="001C70CB">
              <w:rPr>
                <w:lang w:eastAsia="zh-CN"/>
              </w:rPr>
              <w:t>, що необхідні для забезпечення поставки продукції, що є предметом закупівлі</w:t>
            </w:r>
            <w:r w:rsidRPr="001C70CB">
              <w:rPr>
                <w:rFonts w:cs="Times New Roman CYR"/>
                <w:lang w:eastAsia="zh-CN"/>
              </w:rPr>
              <w:t>. У довідці зазначається інформація про наявність в учасника:</w:t>
            </w:r>
            <w:r w:rsidRPr="001C70CB">
              <w:rPr>
                <w:rFonts w:cs="Times New Roman CYR"/>
                <w:b/>
                <w:lang w:eastAsia="zh-CN"/>
              </w:rPr>
              <w:t xml:space="preserve"> </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спеціалізованого автотранспорту для перевезення продуктів харчування у відповідності до предмету закупівлі: </w:t>
            </w:r>
            <w:r w:rsidRPr="001C70CB">
              <w:rPr>
                <w:rFonts w:cs="Times New Roman CYR"/>
                <w:i/>
                <w:lang w:eastAsia="zh-CN"/>
              </w:rPr>
              <w:t>рефрижератор із зазначенням реєстраційно</w:t>
            </w:r>
            <w:bookmarkStart w:id="0" w:name="_GoBack"/>
            <w:bookmarkEnd w:id="0"/>
            <w:r w:rsidRPr="001C70CB">
              <w:rPr>
                <w:rFonts w:cs="Times New Roman CYR"/>
                <w:i/>
                <w:lang w:eastAsia="zh-CN"/>
              </w:rPr>
              <w:t>го номеру автомобіля та виду (типу) кузову (не менше двох одиниць)</w:t>
            </w:r>
            <w:r w:rsidRPr="001C70CB">
              <w:rPr>
                <w:rFonts w:cs="Times New Roman CYR"/>
                <w:lang w:eastAsia="zh-CN"/>
              </w:rPr>
              <w:t>;</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складського приміщення (із зазначенням температурного режиму) з </w:t>
            </w:r>
            <w:proofErr w:type="spellStart"/>
            <w:r w:rsidRPr="001C70CB">
              <w:rPr>
                <w:rFonts w:cs="Times New Roman CYR"/>
                <w:lang w:eastAsia="zh-CN"/>
              </w:rPr>
              <w:t>адресою</w:t>
            </w:r>
            <w:proofErr w:type="spellEnd"/>
            <w:r w:rsidRPr="001C70CB">
              <w:rPr>
                <w:rFonts w:cs="Times New Roman CYR"/>
                <w:lang w:eastAsia="zh-CN"/>
              </w:rPr>
              <w:t xml:space="preserve"> розташування.</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1.2. На підтвердження права </w:t>
            </w:r>
            <w:r w:rsidRPr="001C70CB">
              <w:rPr>
                <w:lang w:eastAsia="zh-CN"/>
              </w:rPr>
              <w:t>власності чи користування</w:t>
            </w:r>
            <w:r w:rsidRPr="001C70CB">
              <w:rPr>
                <w:rFonts w:cs="Times New Roman CYR"/>
                <w:lang w:eastAsia="zh-CN"/>
              </w:rPr>
              <w:t xml:space="preserve"> транспортними засобами та об’єктами зазначеними у довідці учасники подають копії наступних документів:</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для транспортних засобів: копії </w:t>
            </w:r>
            <w:proofErr w:type="spellStart"/>
            <w:r w:rsidRPr="001C70CB">
              <w:rPr>
                <w:rFonts w:cs="Times New Roman CYR"/>
                <w:lang w:eastAsia="zh-CN"/>
              </w:rPr>
              <w:t>свідоцтв</w:t>
            </w:r>
            <w:proofErr w:type="spellEnd"/>
            <w:r w:rsidRPr="001C70CB">
              <w:rPr>
                <w:rFonts w:cs="Times New Roman CYR"/>
                <w:lang w:eastAsia="zh-CN"/>
              </w:rPr>
              <w:t xml:space="preserve"> про реєстрацію транспортних засобів (що посвідчує право власності учасника) або копії договорів оренди;</w:t>
            </w:r>
          </w:p>
          <w:p w:rsidR="001C70CB" w:rsidRPr="001C70CB" w:rsidRDefault="001C70CB" w:rsidP="001C70CB">
            <w:pPr>
              <w:widowControl w:val="0"/>
              <w:autoSpaceDE w:val="0"/>
              <w:jc w:val="both"/>
              <w:rPr>
                <w:rFonts w:cs="Times New Roman CYR"/>
                <w:color w:val="000000"/>
                <w:lang w:eastAsia="zh-CN"/>
              </w:rPr>
            </w:pPr>
            <w:r w:rsidRPr="001C70CB">
              <w:rPr>
                <w:rFonts w:cs="Times New Roman CYR"/>
                <w:lang w:eastAsia="zh-CN"/>
              </w:rPr>
              <w:t xml:space="preserve">- для нерухомого майна: </w:t>
            </w:r>
            <w:r w:rsidRPr="001C70CB">
              <w:rPr>
                <w:lang w:eastAsia="zh-CN"/>
              </w:rPr>
              <w:t xml:space="preserve">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w:t>
            </w:r>
            <w:r w:rsidRPr="001C70CB">
              <w:rPr>
                <w:color w:val="000000"/>
                <w:lang w:eastAsia="zh-CN"/>
              </w:rPr>
              <w:t>договору оренди (зі строком оренди до кінця  2024 року)</w:t>
            </w:r>
            <w:r w:rsidRPr="001C70CB">
              <w:rPr>
                <w:rFonts w:cs="Times New Roman CYR"/>
                <w:color w:val="000000"/>
                <w:lang w:eastAsia="zh-CN"/>
              </w:rPr>
              <w:t>.</w:t>
            </w:r>
          </w:p>
          <w:p w:rsidR="001C70CB" w:rsidRPr="001C70CB" w:rsidRDefault="001C70CB" w:rsidP="001C70CB">
            <w:pPr>
              <w:widowControl w:val="0"/>
              <w:autoSpaceDE w:val="0"/>
              <w:jc w:val="both"/>
              <w:rPr>
                <w:lang w:eastAsia="zh-CN"/>
              </w:rPr>
            </w:pPr>
            <w:r w:rsidRPr="001C70CB">
              <w:rPr>
                <w:lang w:eastAsia="zh-CN"/>
              </w:rPr>
              <w:t>Для підтвердження технічних якостей транспортних засобів,</w:t>
            </w:r>
            <w:r w:rsidRPr="001C70CB">
              <w:rPr>
                <w:rFonts w:cs="Times New Roman CYR"/>
                <w:bCs/>
                <w:lang w:eastAsia="zh-CN"/>
              </w:rPr>
              <w:t xml:space="preserve"> підтвердження дотримання температурних параметрів</w:t>
            </w:r>
            <w:r w:rsidRPr="001C70CB">
              <w:rPr>
                <w:lang w:eastAsia="zh-CN"/>
              </w:rPr>
              <w:t xml:space="preserve"> обладнання, яке задіяне в обігу товару, згідно з ст.45 ЗУ «Про основні принципи та вимоги до безпечності та якості харчових продуктів»,</w:t>
            </w:r>
          </w:p>
          <w:p w:rsidR="001C70CB" w:rsidRPr="001C70CB" w:rsidRDefault="001C70CB" w:rsidP="001C70CB">
            <w:pPr>
              <w:ind w:firstLine="45"/>
              <w:jc w:val="both"/>
              <w:rPr>
                <w:bCs/>
                <w:lang w:val="ru-RU" w:eastAsia="zh-CN"/>
              </w:rPr>
            </w:pPr>
            <w:proofErr w:type="spellStart"/>
            <w:r w:rsidRPr="001C70CB">
              <w:rPr>
                <w:bCs/>
                <w:lang w:val="ru-RU" w:eastAsia="zh-CN"/>
              </w:rPr>
              <w:lastRenderedPageBreak/>
              <w:t>Учасник</w:t>
            </w:r>
            <w:proofErr w:type="spellEnd"/>
            <w:r w:rsidRPr="001C70CB">
              <w:rPr>
                <w:bCs/>
                <w:lang w:val="ru-RU" w:eastAsia="zh-CN"/>
              </w:rPr>
              <w:t xml:space="preserve"> </w:t>
            </w:r>
            <w:proofErr w:type="spellStart"/>
            <w:r w:rsidRPr="001C70CB">
              <w:rPr>
                <w:bCs/>
                <w:lang w:val="ru-RU" w:eastAsia="zh-CN"/>
              </w:rPr>
              <w:t>має</w:t>
            </w:r>
            <w:proofErr w:type="spellEnd"/>
            <w:r w:rsidRPr="001C70CB">
              <w:rPr>
                <w:bCs/>
                <w:lang w:val="ru-RU" w:eastAsia="zh-CN"/>
              </w:rPr>
              <w:t xml:space="preserve"> подати </w:t>
            </w:r>
            <w:proofErr w:type="spellStart"/>
            <w:r w:rsidRPr="001C70CB">
              <w:rPr>
                <w:bCs/>
                <w:lang w:val="ru-RU" w:eastAsia="zh-CN"/>
              </w:rPr>
              <w:t>наступні</w:t>
            </w:r>
            <w:proofErr w:type="spellEnd"/>
            <w:r w:rsidRPr="001C70CB">
              <w:rPr>
                <w:bCs/>
                <w:lang w:val="ru-RU" w:eastAsia="zh-CN"/>
              </w:rPr>
              <w:t xml:space="preserve"> </w:t>
            </w:r>
            <w:proofErr w:type="spellStart"/>
            <w:r w:rsidRPr="001C70CB">
              <w:rPr>
                <w:bCs/>
                <w:lang w:val="ru-RU" w:eastAsia="zh-CN"/>
              </w:rPr>
              <w:t>документи</w:t>
            </w:r>
            <w:proofErr w:type="spellEnd"/>
            <w:r w:rsidRPr="001C70CB">
              <w:rPr>
                <w:bCs/>
                <w:lang w:val="ru-RU" w:eastAsia="zh-CN"/>
              </w:rPr>
              <w:t>:</w:t>
            </w:r>
          </w:p>
          <w:p w:rsidR="001C70CB" w:rsidRPr="001C70CB" w:rsidRDefault="001C70CB" w:rsidP="001C70CB">
            <w:pPr>
              <w:widowControl w:val="0"/>
              <w:autoSpaceDE w:val="0"/>
              <w:ind w:firstLine="45"/>
              <w:jc w:val="both"/>
              <w:rPr>
                <w:rFonts w:cs="Times New Roman CYR"/>
                <w:bCs/>
                <w:lang w:eastAsia="zh-CN"/>
              </w:rPr>
            </w:pPr>
            <w:r w:rsidRPr="001C70CB">
              <w:rPr>
                <w:rFonts w:cs="Times New Roman CYR"/>
                <w:bCs/>
                <w:lang w:eastAsia="zh-CN"/>
              </w:rPr>
              <w:t>- 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підтверджуючих документів на проведення таких робіт) на ім’я учасника, та дійсний на момент подання пропозиції.</w:t>
            </w:r>
          </w:p>
          <w:p w:rsidR="0071276E" w:rsidRPr="00CA1363" w:rsidRDefault="0071276E" w:rsidP="00083A1F">
            <w:pPr>
              <w:spacing w:line="264" w:lineRule="auto"/>
              <w:ind w:left="34"/>
              <w:rPr>
                <w:b/>
                <w:color w:val="000000"/>
                <w:sz w:val="20"/>
                <w:szCs w:val="20"/>
              </w:rPr>
            </w:pPr>
          </w:p>
        </w:tc>
      </w:tr>
    </w:tbl>
    <w:p w:rsidR="00B31274" w:rsidRDefault="00B31274"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proofErr w:type="spellStart"/>
      <w:r w:rsidR="001C70CB" w:rsidRPr="001C70CB">
        <w:rPr>
          <w:b/>
          <w:bCs/>
          <w:spacing w:val="1"/>
        </w:rPr>
        <w:t>Матніязова</w:t>
      </w:r>
      <w:proofErr w:type="spellEnd"/>
      <w:r w:rsidR="001C70CB" w:rsidRPr="001C70CB">
        <w:rPr>
          <w:b/>
          <w:bCs/>
          <w:spacing w:val="1"/>
        </w:rPr>
        <w:t xml:space="preserve"> Л.Я.</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C70CB"/>
    <w:rsid w:val="001F55A0"/>
    <w:rsid w:val="00237659"/>
    <w:rsid w:val="00244EB1"/>
    <w:rsid w:val="002D2BC5"/>
    <w:rsid w:val="002D5A77"/>
    <w:rsid w:val="002D5BEC"/>
    <w:rsid w:val="002F54CC"/>
    <w:rsid w:val="00323DFC"/>
    <w:rsid w:val="003840CF"/>
    <w:rsid w:val="00386B5E"/>
    <w:rsid w:val="003B4E84"/>
    <w:rsid w:val="003F6CC1"/>
    <w:rsid w:val="00443CEF"/>
    <w:rsid w:val="004924A9"/>
    <w:rsid w:val="004B71E5"/>
    <w:rsid w:val="004E24AC"/>
    <w:rsid w:val="00502010"/>
    <w:rsid w:val="005E38E8"/>
    <w:rsid w:val="005E724C"/>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30C61"/>
    <w:rsid w:val="00933CE7"/>
    <w:rsid w:val="00944244"/>
    <w:rsid w:val="009C73E1"/>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7B00"/>
    <w:rsid w:val="00C51839"/>
    <w:rsid w:val="00C9049B"/>
    <w:rsid w:val="00C9455C"/>
    <w:rsid w:val="00CA1363"/>
    <w:rsid w:val="00CE3061"/>
    <w:rsid w:val="00D02F3C"/>
    <w:rsid w:val="00DB7F45"/>
    <w:rsid w:val="00DC57B4"/>
    <w:rsid w:val="00DE4E7F"/>
    <w:rsid w:val="00E02FE8"/>
    <w:rsid w:val="00E32064"/>
    <w:rsid w:val="00E422BC"/>
    <w:rsid w:val="00E60F34"/>
    <w:rsid w:val="00E71699"/>
    <w:rsid w:val="00E81FCB"/>
    <w:rsid w:val="00EA6930"/>
    <w:rsid w:val="00EA71FA"/>
    <w:rsid w:val="00EE479C"/>
    <w:rsid w:val="00F35BAF"/>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0B59"/>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29E5-C99A-4E89-A7A9-E454574B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18</cp:revision>
  <dcterms:created xsi:type="dcterms:W3CDTF">2022-11-21T12:37:00Z</dcterms:created>
  <dcterms:modified xsi:type="dcterms:W3CDTF">2023-12-13T08:25:00Z</dcterms:modified>
</cp:coreProperties>
</file>