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Додаток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>
      <w:pPr>
        <w:wordWrap w:val="0"/>
        <w:jc w:val="right"/>
        <w:rPr>
          <w:rFonts w:hint="default"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тендерно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>ї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документац</w:t>
      </w: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>ії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Медико-технічні вимоги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ДК 021:2015 код 33690000-3 «Лікарські засоби різні»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.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p>
      <w:pPr>
        <w:ind w:left="567"/>
        <w:jc w:val="both"/>
        <w:rPr>
          <w:rFonts w:hint="default" w:ascii="Arial" w:hAnsi="Arial" w:eastAsia="Arial"/>
          <w:color w:val="000000"/>
          <w:sz w:val="20"/>
          <w:szCs w:val="20"/>
          <w:shd w:val="clear" w:color="auto" w:fill="FDFEFD"/>
        </w:rPr>
      </w:pPr>
      <w:r>
        <w:rPr>
          <w:b/>
          <w:sz w:val="22"/>
          <w:szCs w:val="22"/>
          <w:lang w:val="uk-UA"/>
        </w:rPr>
        <w:t>33690000-3 «Лікарські засоби різні»</w:t>
      </w:r>
      <w:r>
        <w:rPr>
          <w:b/>
          <w:sz w:val="22"/>
          <w:szCs w:val="22"/>
          <w:lang w:val="ru-RU"/>
        </w:rPr>
        <w:t xml:space="preserve">. </w:t>
      </w:r>
      <w:r>
        <w:rPr>
          <w:rFonts w:ascii="Arial" w:hAnsi="Arial" w:eastAsia="Arial" w:cs="Arial"/>
          <w:color w:val="000000"/>
          <w:sz w:val="16"/>
          <w:szCs w:val="16"/>
          <w:shd w:val="clear" w:color="auto" w:fill="FDFEFD"/>
        </w:rPr>
        <w:t xml:space="preserve"> </w:t>
      </w:r>
      <w:r>
        <w:rPr>
          <w:rFonts w:hint="default" w:ascii="Arial" w:hAnsi="Arial" w:eastAsia="Arial"/>
          <w:color w:val="000000"/>
          <w:sz w:val="16"/>
          <w:szCs w:val="16"/>
          <w:shd w:val="clear" w:color="auto" w:fill="FDFEFD"/>
        </w:rPr>
        <w:t xml:space="preserve"> </w:t>
      </w:r>
      <w:bookmarkStart w:id="1" w:name="_GoBack"/>
      <w:r>
        <w:rPr>
          <w:rFonts w:hint="default" w:ascii="Arial" w:hAnsi="Arial" w:eastAsia="Arial"/>
          <w:color w:val="000000"/>
          <w:sz w:val="20"/>
          <w:szCs w:val="20"/>
          <w:shd w:val="clear" w:color="auto" w:fill="FDFEFD"/>
        </w:rPr>
        <w:t>Код класифікатору НК024-2023 52867 Множинні електроліти IVD (діагностика in vitro ), калібратор 52867 Множинні електроліти IVD (діагностика in vitro ), калібратор 59058 Мийний/очищувальний розчин IVD (діагностика in vitro ) для автоматизованих/ напівавтоматизованих систем 59058 Мийний/очищувальний розчин IVD (діагностика in vitro ) для автоматизованих/ напівавтоматизованих систем 52868 Множинні електроліти IVD (діагностика in vitro ), контрольний матеріал 59238 Іоноселективний електрод референтний розчин IVD (діагностика in vitro ), реагент</w:t>
      </w:r>
    </w:p>
    <w:bookmarkEnd w:id="1"/>
    <w:p>
      <w:pPr>
        <w:ind w:left="567"/>
        <w:jc w:val="both"/>
        <w:rPr>
          <w:rFonts w:hint="default" w:ascii="Arial" w:hAnsi="Arial" w:eastAsia="Arial"/>
          <w:color w:val="000000"/>
          <w:sz w:val="16"/>
          <w:szCs w:val="16"/>
          <w:shd w:val="clear" w:color="auto" w:fill="FDFEFD"/>
        </w:rPr>
      </w:pPr>
    </w:p>
    <w:p>
      <w:pPr>
        <w:ind w:left="567"/>
        <w:jc w:val="both"/>
        <w:rPr>
          <w:bCs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Кількість: </w:t>
      </w:r>
      <w:r>
        <w:rPr>
          <w:rFonts w:hint="default"/>
          <w:b/>
          <w:sz w:val="22"/>
          <w:szCs w:val="22"/>
          <w:lang w:val="uk-UA"/>
        </w:rPr>
        <w:t>6</w:t>
      </w:r>
      <w:r>
        <w:rPr>
          <w:b/>
          <w:sz w:val="22"/>
          <w:szCs w:val="22"/>
          <w:lang w:val="uk-UA"/>
        </w:rPr>
        <w:t xml:space="preserve"> одиниць.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5"/>
        <w:tblW w:w="10679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900"/>
        <w:gridCol w:w="1669"/>
        <w:gridCol w:w="3960"/>
        <w:gridCol w:w="720"/>
        <w:gridCol w:w="680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5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ind w:right="-9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Код класифікатору НК024-2023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</w:rPr>
              <w:t xml:space="preserve">Назва  товару 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</w:rPr>
              <w:t>Вимоги до технічних характеристик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Кіль-ість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</w:rPr>
              <w:t>Відповідність ТАК/НІ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5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ind w:right="-97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52867 Множинні електроліти IVD (діагностика in vitro ), калібратор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ind w:left="-90" w:right="-97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Калібратор 1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Cl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 (для аналізатору електролітів) АЕК.011</w:t>
            </w:r>
          </w:p>
          <w:p>
            <w:pPr>
              <w:ind w:left="-90" w:right="-97"/>
              <w:rPr>
                <w:b/>
                <w:bCs/>
                <w:sz w:val="20"/>
                <w:szCs w:val="20"/>
              </w:rPr>
            </w:pPr>
            <w:bookmarkStart w:id="0" w:name="_Hlk157775894"/>
            <w:r>
              <w:rPr>
                <w:rFonts w:ascii="Times New Roman" w:hAnsi="Times New Roman"/>
                <w:sz w:val="20"/>
                <w:szCs w:val="20"/>
                <w:lang w:val="uk-UA"/>
              </w:rPr>
              <w:t>33696300-8 Хімічні реактиви</w:t>
            </w:r>
            <w:bookmarkEnd w:id="0"/>
          </w:p>
        </w:tc>
        <w:tc>
          <w:tcPr>
            <w:tcW w:w="3960" w:type="dxa"/>
            <w:noWrap w:val="0"/>
            <w:vAlign w:val="bottom"/>
          </w:tcPr>
          <w:p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Призначення: призначений для калібрування аналізаторів електролітів АЭК-01  та EL-5 по одній або по двох точках та його промивки  між пробами. </w:t>
            </w:r>
          </w:p>
          <w:p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Склад: калій хлористий, натрій хлористий, бікарбонат натрію, бікарбонат кальцію, ПАР, вода дистильована.</w:t>
            </w:r>
          </w:p>
          <w:p>
            <w:pPr>
              <w:ind w:right="-97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Фасування: 1000мл/флакон.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5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ind w:right="-97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52867 Множинні електроліти IVD (діагностика in vitro ), калібратор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ind w:left="-90" w:right="-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Калібратор 2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K,Na,Ca,pH,Cl</w:t>
            </w:r>
            <w:r>
              <w:rPr>
                <w:rFonts w:ascii="Times New Roman" w:hAnsi="Times New Roman"/>
                <w:sz w:val="20"/>
                <w:szCs w:val="20"/>
              </w:rPr>
              <w:t>) (для аналізатору електролітів) АЕК.015</w:t>
            </w:r>
          </w:p>
          <w:p>
            <w:pPr>
              <w:ind w:left="-90" w:right="-9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33696300-8 Хімічні реактиви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Призначення: призначений для калібрування аналізаторів електролітів АЭК-01  та EL-5 по другій точці.</w:t>
            </w:r>
          </w:p>
          <w:p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Склад: калій хлористий, натрій хлористий, бікарбонат натрію, бікарбонат кальцію, ПАР, вода дистильована.</w:t>
            </w:r>
          </w:p>
          <w:p>
            <w:pPr>
              <w:ind w:right="-97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Фасування: 100мл/флакон.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5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ind w:right="-97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59058 Мийний/очищувальний розчин IVD (діагностика in vitro ) для автоматизованих/ напівавтоматизованих систем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ind w:left="-90" w:right="-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Очисний розчин (для аналізатору електролітів) AEK.021</w:t>
            </w:r>
          </w:p>
          <w:p>
            <w:pPr>
              <w:ind w:left="-90" w:right="-9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33696300-8 Хімічні реактиви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Призначення: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призначений для промивки електродів і гідравлічної системи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аналізаторів електролітів АЭК-01  та EL-5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від забруднення.</w:t>
            </w:r>
          </w:p>
          <w:p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Склад: калію хлорид, гіпохлорид натрію, вода дистильована.</w:t>
            </w:r>
          </w:p>
          <w:p>
            <w:pPr>
              <w:ind w:right="-97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Фасування 100мл/флакон.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5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ind w:right="-97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59058 Мийний/очищувальний розчин IVD (діагностика in vitro ) для автоматизованих/ напівавтоматизованих систем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ind w:left="-90" w:right="-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Кондиціонер (для аналізатору електролітів) AEK.019</w:t>
            </w:r>
          </w:p>
          <w:p>
            <w:pPr>
              <w:ind w:left="-90" w:right="-97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33696300-8 Хімічні реактиви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Призначення: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призначений для промивки електродів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аналізаторів електролітів АЭК-01  та EL-5. 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Відновлює мембрани електродів після проведення процедури очистки за допомогою очисного розчину. </w:t>
            </w:r>
          </w:p>
          <w:p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Склад: натрій хлористий, біфторид аммонію, вода дистильована.</w:t>
            </w:r>
          </w:p>
          <w:p>
            <w:pPr>
              <w:ind w:right="-97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Фасування 100мл/флакон.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5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ind w:right="-97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52868 Множинні електроліти IVD (діагностика in vitro ), контрольний матеріал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ind w:left="-90" w:right="-9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Комплект розчинів контролю якості (для аналізатору електролітів) АЕК.025</w:t>
            </w:r>
          </w:p>
          <w:p>
            <w:pPr>
              <w:ind w:left="-90" w:right="-9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33696300-8 Хімічні реактиви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Призначення: призначений для контролю якості (відтворюваність) роботи аналізаторів електролітів АЭК-01 та EL-5 по 3-х рівнях досліджуваних показників K, Na, Ca, pH, Cl - низькому, нормальному та високому.</w:t>
            </w:r>
          </w:p>
          <w:p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Склад: калію хлористий, натрію хлористий, бікарбонат натрію, бікарбонат кальцію, ПАР, вода дистильована. </w:t>
            </w:r>
          </w:p>
          <w:p>
            <w:pPr>
              <w:ind w:right="-97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Фасування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 фл по 10 мл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5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ind w:left="-12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59238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Іоноселективний електрод референтний розчин IVD (діагностика in vitro ), реагент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озчин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заправки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електроду порівняння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АЕК.024</w:t>
            </w:r>
          </w:p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33696300-8 Хімічні реактиви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Призначення: призначений для заправки електроду порівняння мембранного типу аналізатору електролітів EL-5. Створює середовище для вимірювання різниці потенціалів електроду порівняння з іншими іоноселективними електродами.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Склад: калію хлорид,  натрію хлорид, ПАР,  вода дистильована.</w:t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Фасування 10мл/флакон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ind w:left="-90" w:right="-9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>
      <w:pPr>
        <w:rPr>
          <w:rFonts w:ascii="Times New Roman" w:hAnsi="Times New Roman" w:cs="Times New Roman"/>
          <w:b/>
          <w:sz w:val="22"/>
          <w:szCs w:val="22"/>
          <w:lang w:val="uk-UA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Додати документи (або їх завірені копії), що передбачені чинним законодавством України та дозволяють продаж, постачання і використання реактивів та контрастних речовин, а саме: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1. З метою запобігання закупівлі фальсифікатів та отримання гарантій на своєчасне постачання товару у кількості та якості, яких вимагає ця документація, надати скановані оригінали гарантійних листів виробників або їх офіційних представників (якщо їх повноваження поширюються на територію </w:t>
      </w:r>
      <w:r>
        <w:rPr>
          <w:rFonts w:hint="default" w:ascii="Times New Roman" w:hAnsi="Times New Roman" w:cs="Times New Roman"/>
          <w:sz w:val="24"/>
          <w:szCs w:val="24"/>
        </w:rPr>
        <w:t xml:space="preserve">України), якими підтверджується те, що Учасник має можливість поставки запропонованого товару для потреб Замовника у відповідній до вимог цієї документації, кількості, якості та у встановлені терміни. Гарантійний лист повинен містити посилання на повну назву учасника, номер оголошення закупівлі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на офіційному сайті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"http://prozorro.gov.ua/"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16"/>
          <w:rFonts w:hint="default" w:ascii="Times New Roman" w:hAnsi="Times New Roman" w:cs="Times New Roman"/>
          <w:sz w:val="24"/>
          <w:szCs w:val="24"/>
        </w:rPr>
        <w:t>http://prozorro.gov.ua/</w:t>
      </w:r>
      <w:r>
        <w:rPr>
          <w:rStyle w:val="16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При поставці товару надати інструкції з використання реактивів.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Термін придатності на момент поставки повинен бути не менше 80%.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Кожна партія товару має супроводжуватись документами, що підтверджують їх якість (сертифікат якості, посвідчення якості тощо) із зазначенням даних, що вимагаються чинним законодавством України.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Постачальник самостійно та за свій рахунок проводить доставку до місць використання товару.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 Вироби повинні бути 202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 xml:space="preserve"> - 20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24</w:t>
      </w:r>
      <w:r>
        <w:rPr>
          <w:rFonts w:hint="default" w:ascii="Times New Roman" w:hAnsi="Times New Roman" w:cs="Times New Roman"/>
          <w:sz w:val="24"/>
          <w:szCs w:val="24"/>
        </w:rPr>
        <w:t xml:space="preserve"> року виготовлення.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7.В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пропозицію додати 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</w:rPr>
        <w:t>гарантійний лист від Учасника, яким він підтверджує постачання товарів в необхідній кількості, відповідної якості та в потрібний термін</w:t>
      </w:r>
      <w:r>
        <w:rPr>
          <w:rFonts w:hint="default" w:ascii="Times New Roman" w:hAnsi="Times New Roman" w:cs="Times New Roman"/>
          <w:color w:val="000000"/>
          <w:spacing w:val="2"/>
          <w:sz w:val="24"/>
          <w:szCs w:val="24"/>
          <w:lang w:val="ru-RU"/>
        </w:rPr>
        <w:t>.</w:t>
      </w: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CC"/>
    <w:family w:val="script"/>
    <w:pitch w:val="default"/>
    <w:sig w:usb0="00000287" w:usb1="00000013" w:usb2="00000000" w:usb3="00000000" w:csb0="2000009F" w:csb1="00000000"/>
  </w:font>
  <w:font w:name="Symbole Hu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eSans B4 Semi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eSans B7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default"/>
    <w:sig w:usb0="00000287" w:usb1="00000000" w:usb2="00000000" w:usb3="00000000" w:csb0="2000009F" w:csb1="DFD70000"/>
  </w:font>
  <w:font w:name="Book Antiqua">
    <w:panose1 w:val="02040602050305030304"/>
    <w:charset w:val="CC"/>
    <w:family w:val="roman"/>
    <w:pitch w:val="default"/>
    <w:sig w:usb0="00000287" w:usb1="00000000" w:usb2="00000000" w:usb3="00000000" w:csb0="2000009F" w:csb1="DFD7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hideSpellingErrors/>
  <w:documentProtection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66"/>
    <w:rsid w:val="000057CB"/>
    <w:rsid w:val="00006035"/>
    <w:rsid w:val="0001676A"/>
    <w:rsid w:val="000167B2"/>
    <w:rsid w:val="0001778C"/>
    <w:rsid w:val="000223B1"/>
    <w:rsid w:val="00022548"/>
    <w:rsid w:val="00024053"/>
    <w:rsid w:val="00026169"/>
    <w:rsid w:val="00026E57"/>
    <w:rsid w:val="00027082"/>
    <w:rsid w:val="000332C3"/>
    <w:rsid w:val="000337A6"/>
    <w:rsid w:val="00034ED1"/>
    <w:rsid w:val="00037162"/>
    <w:rsid w:val="00040679"/>
    <w:rsid w:val="000422DA"/>
    <w:rsid w:val="00043493"/>
    <w:rsid w:val="00046E49"/>
    <w:rsid w:val="0004772C"/>
    <w:rsid w:val="00050890"/>
    <w:rsid w:val="00050C91"/>
    <w:rsid w:val="000521D3"/>
    <w:rsid w:val="00053D11"/>
    <w:rsid w:val="00053E4B"/>
    <w:rsid w:val="000549DD"/>
    <w:rsid w:val="00057F9D"/>
    <w:rsid w:val="00061CA0"/>
    <w:rsid w:val="00067D0B"/>
    <w:rsid w:val="000730FE"/>
    <w:rsid w:val="00073487"/>
    <w:rsid w:val="0007450F"/>
    <w:rsid w:val="00074B8D"/>
    <w:rsid w:val="00085496"/>
    <w:rsid w:val="00086041"/>
    <w:rsid w:val="00087486"/>
    <w:rsid w:val="00090706"/>
    <w:rsid w:val="00091040"/>
    <w:rsid w:val="0009384D"/>
    <w:rsid w:val="000947CB"/>
    <w:rsid w:val="00097B51"/>
    <w:rsid w:val="000A5C89"/>
    <w:rsid w:val="000A604A"/>
    <w:rsid w:val="000B027F"/>
    <w:rsid w:val="000B1942"/>
    <w:rsid w:val="000B254C"/>
    <w:rsid w:val="000B3565"/>
    <w:rsid w:val="000B430A"/>
    <w:rsid w:val="000B58F7"/>
    <w:rsid w:val="000B6588"/>
    <w:rsid w:val="000B6DDF"/>
    <w:rsid w:val="000B73DE"/>
    <w:rsid w:val="000C1BB6"/>
    <w:rsid w:val="000C1C01"/>
    <w:rsid w:val="000C4E98"/>
    <w:rsid w:val="000C63EC"/>
    <w:rsid w:val="000D05E1"/>
    <w:rsid w:val="000D405F"/>
    <w:rsid w:val="000D483E"/>
    <w:rsid w:val="000D4CBD"/>
    <w:rsid w:val="000D5D3E"/>
    <w:rsid w:val="000E14A6"/>
    <w:rsid w:val="000E169B"/>
    <w:rsid w:val="000E26BE"/>
    <w:rsid w:val="000E543F"/>
    <w:rsid w:val="000E5491"/>
    <w:rsid w:val="000E65B7"/>
    <w:rsid w:val="000F2416"/>
    <w:rsid w:val="000F2DD4"/>
    <w:rsid w:val="000F691C"/>
    <w:rsid w:val="000F71FD"/>
    <w:rsid w:val="0010186E"/>
    <w:rsid w:val="00103AEE"/>
    <w:rsid w:val="00103B81"/>
    <w:rsid w:val="00110671"/>
    <w:rsid w:val="00112A0B"/>
    <w:rsid w:val="00113615"/>
    <w:rsid w:val="00117CDB"/>
    <w:rsid w:val="001224AA"/>
    <w:rsid w:val="0012253A"/>
    <w:rsid w:val="00127C47"/>
    <w:rsid w:val="00132790"/>
    <w:rsid w:val="0013541A"/>
    <w:rsid w:val="00136AAD"/>
    <w:rsid w:val="00137571"/>
    <w:rsid w:val="0014062E"/>
    <w:rsid w:val="00141272"/>
    <w:rsid w:val="00144335"/>
    <w:rsid w:val="00144582"/>
    <w:rsid w:val="00145CB8"/>
    <w:rsid w:val="001466DA"/>
    <w:rsid w:val="00150B9D"/>
    <w:rsid w:val="001535B4"/>
    <w:rsid w:val="00154414"/>
    <w:rsid w:val="00154F6B"/>
    <w:rsid w:val="001556D6"/>
    <w:rsid w:val="001560F2"/>
    <w:rsid w:val="00157126"/>
    <w:rsid w:val="00171A7B"/>
    <w:rsid w:val="00173806"/>
    <w:rsid w:val="00174162"/>
    <w:rsid w:val="001745A1"/>
    <w:rsid w:val="0017552C"/>
    <w:rsid w:val="001760D7"/>
    <w:rsid w:val="00177592"/>
    <w:rsid w:val="00177A58"/>
    <w:rsid w:val="00181ED3"/>
    <w:rsid w:val="001847A7"/>
    <w:rsid w:val="00184DE4"/>
    <w:rsid w:val="00185253"/>
    <w:rsid w:val="00186BCF"/>
    <w:rsid w:val="0018799B"/>
    <w:rsid w:val="00187CB7"/>
    <w:rsid w:val="00191102"/>
    <w:rsid w:val="00192155"/>
    <w:rsid w:val="001962B7"/>
    <w:rsid w:val="00196825"/>
    <w:rsid w:val="00197A03"/>
    <w:rsid w:val="001A190E"/>
    <w:rsid w:val="001A4107"/>
    <w:rsid w:val="001A7137"/>
    <w:rsid w:val="001B1725"/>
    <w:rsid w:val="001B24A1"/>
    <w:rsid w:val="001B2AD1"/>
    <w:rsid w:val="001C123A"/>
    <w:rsid w:val="001C34E4"/>
    <w:rsid w:val="001C3EF8"/>
    <w:rsid w:val="001C50A5"/>
    <w:rsid w:val="001C50D5"/>
    <w:rsid w:val="001D3F61"/>
    <w:rsid w:val="001D631C"/>
    <w:rsid w:val="001D6967"/>
    <w:rsid w:val="001D6EC0"/>
    <w:rsid w:val="001D7E69"/>
    <w:rsid w:val="001E1BB5"/>
    <w:rsid w:val="001E2920"/>
    <w:rsid w:val="001E389A"/>
    <w:rsid w:val="001E59D2"/>
    <w:rsid w:val="001E706A"/>
    <w:rsid w:val="001F1813"/>
    <w:rsid w:val="001F6363"/>
    <w:rsid w:val="001F7529"/>
    <w:rsid w:val="00204E76"/>
    <w:rsid w:val="00205396"/>
    <w:rsid w:val="0021038F"/>
    <w:rsid w:val="00211AB8"/>
    <w:rsid w:val="00213ECF"/>
    <w:rsid w:val="002140E5"/>
    <w:rsid w:val="002149E0"/>
    <w:rsid w:val="002173DF"/>
    <w:rsid w:val="002256EB"/>
    <w:rsid w:val="00232604"/>
    <w:rsid w:val="00240295"/>
    <w:rsid w:val="002519F0"/>
    <w:rsid w:val="00251F37"/>
    <w:rsid w:val="0025279A"/>
    <w:rsid w:val="0025354E"/>
    <w:rsid w:val="00253E79"/>
    <w:rsid w:val="0025788B"/>
    <w:rsid w:val="002635EA"/>
    <w:rsid w:val="002666D1"/>
    <w:rsid w:val="00266D1D"/>
    <w:rsid w:val="002675D3"/>
    <w:rsid w:val="0027292E"/>
    <w:rsid w:val="00272D74"/>
    <w:rsid w:val="002759E4"/>
    <w:rsid w:val="00281557"/>
    <w:rsid w:val="00281838"/>
    <w:rsid w:val="002819A0"/>
    <w:rsid w:val="00281DFD"/>
    <w:rsid w:val="00283193"/>
    <w:rsid w:val="00284FEC"/>
    <w:rsid w:val="00290449"/>
    <w:rsid w:val="002A1E58"/>
    <w:rsid w:val="002A20D3"/>
    <w:rsid w:val="002A55C9"/>
    <w:rsid w:val="002A6330"/>
    <w:rsid w:val="002B0170"/>
    <w:rsid w:val="002B08C7"/>
    <w:rsid w:val="002B0FE0"/>
    <w:rsid w:val="002B216C"/>
    <w:rsid w:val="002B43C9"/>
    <w:rsid w:val="002B572B"/>
    <w:rsid w:val="002B6E45"/>
    <w:rsid w:val="002C156F"/>
    <w:rsid w:val="002C1C0C"/>
    <w:rsid w:val="002C7471"/>
    <w:rsid w:val="002D1ED8"/>
    <w:rsid w:val="002D3688"/>
    <w:rsid w:val="002D450C"/>
    <w:rsid w:val="002D622D"/>
    <w:rsid w:val="002D643D"/>
    <w:rsid w:val="002D7092"/>
    <w:rsid w:val="002E4606"/>
    <w:rsid w:val="002F1B0A"/>
    <w:rsid w:val="002F392C"/>
    <w:rsid w:val="002F7931"/>
    <w:rsid w:val="00303E1D"/>
    <w:rsid w:val="00314BE7"/>
    <w:rsid w:val="00315DF7"/>
    <w:rsid w:val="00325FF8"/>
    <w:rsid w:val="00331444"/>
    <w:rsid w:val="003342E0"/>
    <w:rsid w:val="00335FA0"/>
    <w:rsid w:val="00336803"/>
    <w:rsid w:val="00342012"/>
    <w:rsid w:val="003430C1"/>
    <w:rsid w:val="00345007"/>
    <w:rsid w:val="00345B6B"/>
    <w:rsid w:val="00347604"/>
    <w:rsid w:val="00352501"/>
    <w:rsid w:val="00364B80"/>
    <w:rsid w:val="00371243"/>
    <w:rsid w:val="003725C8"/>
    <w:rsid w:val="00373871"/>
    <w:rsid w:val="00375FAF"/>
    <w:rsid w:val="0037664E"/>
    <w:rsid w:val="00380A19"/>
    <w:rsid w:val="00380D4F"/>
    <w:rsid w:val="0038515C"/>
    <w:rsid w:val="003909FF"/>
    <w:rsid w:val="00391CF8"/>
    <w:rsid w:val="003924DD"/>
    <w:rsid w:val="00393400"/>
    <w:rsid w:val="003A098B"/>
    <w:rsid w:val="003A192F"/>
    <w:rsid w:val="003A2E21"/>
    <w:rsid w:val="003A435D"/>
    <w:rsid w:val="003A5E0E"/>
    <w:rsid w:val="003A6EF4"/>
    <w:rsid w:val="003B0311"/>
    <w:rsid w:val="003B256A"/>
    <w:rsid w:val="003B36A4"/>
    <w:rsid w:val="003B50F9"/>
    <w:rsid w:val="003B6D0E"/>
    <w:rsid w:val="003B7C9F"/>
    <w:rsid w:val="003C0397"/>
    <w:rsid w:val="003C4235"/>
    <w:rsid w:val="003D077B"/>
    <w:rsid w:val="003D19EF"/>
    <w:rsid w:val="003D23A0"/>
    <w:rsid w:val="003D5E2D"/>
    <w:rsid w:val="003E212A"/>
    <w:rsid w:val="003E3D14"/>
    <w:rsid w:val="003E3E66"/>
    <w:rsid w:val="00400DC0"/>
    <w:rsid w:val="00400FB4"/>
    <w:rsid w:val="00401F50"/>
    <w:rsid w:val="00402571"/>
    <w:rsid w:val="00402F9F"/>
    <w:rsid w:val="00404C75"/>
    <w:rsid w:val="00405E58"/>
    <w:rsid w:val="004105D8"/>
    <w:rsid w:val="004136A4"/>
    <w:rsid w:val="004146BF"/>
    <w:rsid w:val="00415378"/>
    <w:rsid w:val="0041587F"/>
    <w:rsid w:val="0041650D"/>
    <w:rsid w:val="004207CC"/>
    <w:rsid w:val="00421B13"/>
    <w:rsid w:val="004332EA"/>
    <w:rsid w:val="004343F0"/>
    <w:rsid w:val="00435481"/>
    <w:rsid w:val="00442D5A"/>
    <w:rsid w:val="00443207"/>
    <w:rsid w:val="004439B5"/>
    <w:rsid w:val="00450FDC"/>
    <w:rsid w:val="00452705"/>
    <w:rsid w:val="004537AC"/>
    <w:rsid w:val="00453FF5"/>
    <w:rsid w:val="00454E95"/>
    <w:rsid w:val="0045590F"/>
    <w:rsid w:val="00455A78"/>
    <w:rsid w:val="004605B9"/>
    <w:rsid w:val="00461A30"/>
    <w:rsid w:val="00461CB7"/>
    <w:rsid w:val="00464213"/>
    <w:rsid w:val="00464CF0"/>
    <w:rsid w:val="00465287"/>
    <w:rsid w:val="0046549F"/>
    <w:rsid w:val="0047065A"/>
    <w:rsid w:val="00472640"/>
    <w:rsid w:val="0047267B"/>
    <w:rsid w:val="00472794"/>
    <w:rsid w:val="0047279B"/>
    <w:rsid w:val="00475176"/>
    <w:rsid w:val="00475502"/>
    <w:rsid w:val="00476244"/>
    <w:rsid w:val="0047640C"/>
    <w:rsid w:val="004768DE"/>
    <w:rsid w:val="00477BE9"/>
    <w:rsid w:val="004809ED"/>
    <w:rsid w:val="0048186C"/>
    <w:rsid w:val="00483288"/>
    <w:rsid w:val="00484AF5"/>
    <w:rsid w:val="0048748F"/>
    <w:rsid w:val="00487D0E"/>
    <w:rsid w:val="00487F77"/>
    <w:rsid w:val="004937A4"/>
    <w:rsid w:val="004A335B"/>
    <w:rsid w:val="004A54C5"/>
    <w:rsid w:val="004A5643"/>
    <w:rsid w:val="004B2847"/>
    <w:rsid w:val="004B2D7D"/>
    <w:rsid w:val="004B31E2"/>
    <w:rsid w:val="004C0052"/>
    <w:rsid w:val="004C2BDB"/>
    <w:rsid w:val="004C575A"/>
    <w:rsid w:val="004C75FE"/>
    <w:rsid w:val="004D2B81"/>
    <w:rsid w:val="004D2CA4"/>
    <w:rsid w:val="004D2F7D"/>
    <w:rsid w:val="004D3427"/>
    <w:rsid w:val="004D3463"/>
    <w:rsid w:val="004D5295"/>
    <w:rsid w:val="004D6BF5"/>
    <w:rsid w:val="004E13FB"/>
    <w:rsid w:val="004E2850"/>
    <w:rsid w:val="004E3CA4"/>
    <w:rsid w:val="004E5D5B"/>
    <w:rsid w:val="004F1678"/>
    <w:rsid w:val="004F29BD"/>
    <w:rsid w:val="004F469E"/>
    <w:rsid w:val="004F4EDE"/>
    <w:rsid w:val="004F7A8F"/>
    <w:rsid w:val="0050322A"/>
    <w:rsid w:val="00504AF8"/>
    <w:rsid w:val="005057F3"/>
    <w:rsid w:val="00507C2D"/>
    <w:rsid w:val="005117F3"/>
    <w:rsid w:val="00511D59"/>
    <w:rsid w:val="005150A9"/>
    <w:rsid w:val="0051596C"/>
    <w:rsid w:val="00516891"/>
    <w:rsid w:val="00517369"/>
    <w:rsid w:val="005200AF"/>
    <w:rsid w:val="00521197"/>
    <w:rsid w:val="005213B8"/>
    <w:rsid w:val="00522CB2"/>
    <w:rsid w:val="00526C7C"/>
    <w:rsid w:val="00531FEC"/>
    <w:rsid w:val="0053222B"/>
    <w:rsid w:val="00540455"/>
    <w:rsid w:val="00542C70"/>
    <w:rsid w:val="00555086"/>
    <w:rsid w:val="0055529B"/>
    <w:rsid w:val="0056318F"/>
    <w:rsid w:val="00563721"/>
    <w:rsid w:val="00563AD5"/>
    <w:rsid w:val="00567AA2"/>
    <w:rsid w:val="00574C05"/>
    <w:rsid w:val="00581D58"/>
    <w:rsid w:val="00581EF0"/>
    <w:rsid w:val="005871F6"/>
    <w:rsid w:val="005903ED"/>
    <w:rsid w:val="00591815"/>
    <w:rsid w:val="00594C65"/>
    <w:rsid w:val="00596DB1"/>
    <w:rsid w:val="005A0AA8"/>
    <w:rsid w:val="005A63CC"/>
    <w:rsid w:val="005A7FBB"/>
    <w:rsid w:val="005B14DB"/>
    <w:rsid w:val="005B38DF"/>
    <w:rsid w:val="005B7D20"/>
    <w:rsid w:val="005C11AE"/>
    <w:rsid w:val="005C2BAB"/>
    <w:rsid w:val="005C38ED"/>
    <w:rsid w:val="005C3E87"/>
    <w:rsid w:val="005D5087"/>
    <w:rsid w:val="005D59B7"/>
    <w:rsid w:val="005D6A92"/>
    <w:rsid w:val="005E2998"/>
    <w:rsid w:val="005E4384"/>
    <w:rsid w:val="005E7661"/>
    <w:rsid w:val="005F0398"/>
    <w:rsid w:val="005F1D30"/>
    <w:rsid w:val="005F7A28"/>
    <w:rsid w:val="00601D7A"/>
    <w:rsid w:val="00603DE5"/>
    <w:rsid w:val="0060436D"/>
    <w:rsid w:val="006059DC"/>
    <w:rsid w:val="00605B28"/>
    <w:rsid w:val="00605C49"/>
    <w:rsid w:val="006064FC"/>
    <w:rsid w:val="006110C3"/>
    <w:rsid w:val="006117F5"/>
    <w:rsid w:val="00612E03"/>
    <w:rsid w:val="0061565B"/>
    <w:rsid w:val="006156C6"/>
    <w:rsid w:val="00615C5D"/>
    <w:rsid w:val="00615F49"/>
    <w:rsid w:val="00617871"/>
    <w:rsid w:val="006201A7"/>
    <w:rsid w:val="00622345"/>
    <w:rsid w:val="0062250E"/>
    <w:rsid w:val="00622ABA"/>
    <w:rsid w:val="00623A27"/>
    <w:rsid w:val="00624055"/>
    <w:rsid w:val="006255AB"/>
    <w:rsid w:val="0062681E"/>
    <w:rsid w:val="006302E9"/>
    <w:rsid w:val="00631F5E"/>
    <w:rsid w:val="00640AA9"/>
    <w:rsid w:val="00643ECE"/>
    <w:rsid w:val="006465B6"/>
    <w:rsid w:val="0064692E"/>
    <w:rsid w:val="00646C2B"/>
    <w:rsid w:val="00647AF3"/>
    <w:rsid w:val="00653A34"/>
    <w:rsid w:val="006551B3"/>
    <w:rsid w:val="006555FB"/>
    <w:rsid w:val="00655997"/>
    <w:rsid w:val="00656123"/>
    <w:rsid w:val="006620F8"/>
    <w:rsid w:val="00662101"/>
    <w:rsid w:val="0066292E"/>
    <w:rsid w:val="00666504"/>
    <w:rsid w:val="0067044C"/>
    <w:rsid w:val="00673BDA"/>
    <w:rsid w:val="00673C59"/>
    <w:rsid w:val="00676193"/>
    <w:rsid w:val="006767A3"/>
    <w:rsid w:val="00676B2E"/>
    <w:rsid w:val="00676C54"/>
    <w:rsid w:val="00681A46"/>
    <w:rsid w:val="00684693"/>
    <w:rsid w:val="00684F50"/>
    <w:rsid w:val="00691455"/>
    <w:rsid w:val="006921ED"/>
    <w:rsid w:val="0069383A"/>
    <w:rsid w:val="00695033"/>
    <w:rsid w:val="006952FF"/>
    <w:rsid w:val="00695D7F"/>
    <w:rsid w:val="00696966"/>
    <w:rsid w:val="00696B84"/>
    <w:rsid w:val="00697A0A"/>
    <w:rsid w:val="006A0B79"/>
    <w:rsid w:val="006A2658"/>
    <w:rsid w:val="006A6BE6"/>
    <w:rsid w:val="006B0B3E"/>
    <w:rsid w:val="006B0EBD"/>
    <w:rsid w:val="006B1396"/>
    <w:rsid w:val="006B246F"/>
    <w:rsid w:val="006B2600"/>
    <w:rsid w:val="006B3C32"/>
    <w:rsid w:val="006C1616"/>
    <w:rsid w:val="006C2433"/>
    <w:rsid w:val="006C7080"/>
    <w:rsid w:val="006C7174"/>
    <w:rsid w:val="006C7D4C"/>
    <w:rsid w:val="006D377C"/>
    <w:rsid w:val="006D4254"/>
    <w:rsid w:val="006D6709"/>
    <w:rsid w:val="006E086C"/>
    <w:rsid w:val="006E13CC"/>
    <w:rsid w:val="006E1C92"/>
    <w:rsid w:val="006E3DE8"/>
    <w:rsid w:val="006E4997"/>
    <w:rsid w:val="006E6788"/>
    <w:rsid w:val="006F026D"/>
    <w:rsid w:val="006F2352"/>
    <w:rsid w:val="006F2A80"/>
    <w:rsid w:val="006F3695"/>
    <w:rsid w:val="006F3858"/>
    <w:rsid w:val="006F3B77"/>
    <w:rsid w:val="006F53B4"/>
    <w:rsid w:val="006F6259"/>
    <w:rsid w:val="006F7204"/>
    <w:rsid w:val="0070040E"/>
    <w:rsid w:val="0070309A"/>
    <w:rsid w:val="00703B78"/>
    <w:rsid w:val="0071126B"/>
    <w:rsid w:val="007133B3"/>
    <w:rsid w:val="00714066"/>
    <w:rsid w:val="007140E3"/>
    <w:rsid w:val="00716018"/>
    <w:rsid w:val="00721587"/>
    <w:rsid w:val="007219D2"/>
    <w:rsid w:val="00721F6F"/>
    <w:rsid w:val="00722B28"/>
    <w:rsid w:val="0072406F"/>
    <w:rsid w:val="00725CAA"/>
    <w:rsid w:val="00725E60"/>
    <w:rsid w:val="0073072B"/>
    <w:rsid w:val="00731507"/>
    <w:rsid w:val="007367C9"/>
    <w:rsid w:val="007372C2"/>
    <w:rsid w:val="00740710"/>
    <w:rsid w:val="00745DE5"/>
    <w:rsid w:val="00747AC5"/>
    <w:rsid w:val="007520E1"/>
    <w:rsid w:val="007564D6"/>
    <w:rsid w:val="00757ADC"/>
    <w:rsid w:val="00761F5A"/>
    <w:rsid w:val="0077022C"/>
    <w:rsid w:val="00771B08"/>
    <w:rsid w:val="00776CC9"/>
    <w:rsid w:val="00776DFC"/>
    <w:rsid w:val="00784355"/>
    <w:rsid w:val="00790B9B"/>
    <w:rsid w:val="00791043"/>
    <w:rsid w:val="007911DA"/>
    <w:rsid w:val="0079259F"/>
    <w:rsid w:val="007A0DD5"/>
    <w:rsid w:val="007A15CA"/>
    <w:rsid w:val="007A30A5"/>
    <w:rsid w:val="007A429E"/>
    <w:rsid w:val="007A4F57"/>
    <w:rsid w:val="007A6AAB"/>
    <w:rsid w:val="007B0F7E"/>
    <w:rsid w:val="007B3082"/>
    <w:rsid w:val="007B35F5"/>
    <w:rsid w:val="007B7727"/>
    <w:rsid w:val="007B78F5"/>
    <w:rsid w:val="007C0434"/>
    <w:rsid w:val="007C2216"/>
    <w:rsid w:val="007C45F1"/>
    <w:rsid w:val="007C4642"/>
    <w:rsid w:val="007D201B"/>
    <w:rsid w:val="007D3545"/>
    <w:rsid w:val="007D4099"/>
    <w:rsid w:val="007D5B00"/>
    <w:rsid w:val="007E0268"/>
    <w:rsid w:val="007E1660"/>
    <w:rsid w:val="007E2103"/>
    <w:rsid w:val="007E3D8D"/>
    <w:rsid w:val="007E6CBB"/>
    <w:rsid w:val="007E7A16"/>
    <w:rsid w:val="007F102F"/>
    <w:rsid w:val="007F16E1"/>
    <w:rsid w:val="007F4BD4"/>
    <w:rsid w:val="007F601C"/>
    <w:rsid w:val="007F718A"/>
    <w:rsid w:val="00802D50"/>
    <w:rsid w:val="00804EF6"/>
    <w:rsid w:val="0080558F"/>
    <w:rsid w:val="008057F1"/>
    <w:rsid w:val="00807ABB"/>
    <w:rsid w:val="00810D30"/>
    <w:rsid w:val="00811179"/>
    <w:rsid w:val="00811512"/>
    <w:rsid w:val="0081172D"/>
    <w:rsid w:val="00812909"/>
    <w:rsid w:val="008162D0"/>
    <w:rsid w:val="0081671C"/>
    <w:rsid w:val="00817889"/>
    <w:rsid w:val="00817C0A"/>
    <w:rsid w:val="00820A62"/>
    <w:rsid w:val="008236AA"/>
    <w:rsid w:val="00824112"/>
    <w:rsid w:val="0082484F"/>
    <w:rsid w:val="00831276"/>
    <w:rsid w:val="00832033"/>
    <w:rsid w:val="008328F1"/>
    <w:rsid w:val="00833EB7"/>
    <w:rsid w:val="00835310"/>
    <w:rsid w:val="0084788B"/>
    <w:rsid w:val="00847DAC"/>
    <w:rsid w:val="00847ED1"/>
    <w:rsid w:val="00850980"/>
    <w:rsid w:val="00851F34"/>
    <w:rsid w:val="008547F7"/>
    <w:rsid w:val="00854F32"/>
    <w:rsid w:val="008563D9"/>
    <w:rsid w:val="0086094A"/>
    <w:rsid w:val="00865FCC"/>
    <w:rsid w:val="00867583"/>
    <w:rsid w:val="008727FF"/>
    <w:rsid w:val="008738EA"/>
    <w:rsid w:val="00874617"/>
    <w:rsid w:val="00877326"/>
    <w:rsid w:val="00881C68"/>
    <w:rsid w:val="00882B26"/>
    <w:rsid w:val="00882DF7"/>
    <w:rsid w:val="0089422E"/>
    <w:rsid w:val="00895ED4"/>
    <w:rsid w:val="008963A7"/>
    <w:rsid w:val="00897A05"/>
    <w:rsid w:val="008A011E"/>
    <w:rsid w:val="008A0175"/>
    <w:rsid w:val="008A141C"/>
    <w:rsid w:val="008A35D7"/>
    <w:rsid w:val="008A3889"/>
    <w:rsid w:val="008B173C"/>
    <w:rsid w:val="008B1859"/>
    <w:rsid w:val="008B644C"/>
    <w:rsid w:val="008C1784"/>
    <w:rsid w:val="008C354A"/>
    <w:rsid w:val="008C66A2"/>
    <w:rsid w:val="008D0D3C"/>
    <w:rsid w:val="008D71A3"/>
    <w:rsid w:val="008D746D"/>
    <w:rsid w:val="008E0DF8"/>
    <w:rsid w:val="008E6206"/>
    <w:rsid w:val="008E6692"/>
    <w:rsid w:val="008E7771"/>
    <w:rsid w:val="008F1B7A"/>
    <w:rsid w:val="008F3E23"/>
    <w:rsid w:val="008F5948"/>
    <w:rsid w:val="008F628F"/>
    <w:rsid w:val="008F6B51"/>
    <w:rsid w:val="008F7677"/>
    <w:rsid w:val="0090045D"/>
    <w:rsid w:val="00900B8C"/>
    <w:rsid w:val="009018B6"/>
    <w:rsid w:val="00901B07"/>
    <w:rsid w:val="00903A30"/>
    <w:rsid w:val="00904BE2"/>
    <w:rsid w:val="00907A5F"/>
    <w:rsid w:val="0091075D"/>
    <w:rsid w:val="00910F78"/>
    <w:rsid w:val="0091105B"/>
    <w:rsid w:val="009159E9"/>
    <w:rsid w:val="00920A48"/>
    <w:rsid w:val="00920E23"/>
    <w:rsid w:val="00921D61"/>
    <w:rsid w:val="009242BE"/>
    <w:rsid w:val="009248B9"/>
    <w:rsid w:val="0092504F"/>
    <w:rsid w:val="009257A9"/>
    <w:rsid w:val="00925E0C"/>
    <w:rsid w:val="00926D7F"/>
    <w:rsid w:val="00935055"/>
    <w:rsid w:val="00936F14"/>
    <w:rsid w:val="0093757B"/>
    <w:rsid w:val="00940395"/>
    <w:rsid w:val="0094297C"/>
    <w:rsid w:val="009450E9"/>
    <w:rsid w:val="0094536C"/>
    <w:rsid w:val="00946024"/>
    <w:rsid w:val="00946FB2"/>
    <w:rsid w:val="0094790F"/>
    <w:rsid w:val="00950D7E"/>
    <w:rsid w:val="00954262"/>
    <w:rsid w:val="009604DA"/>
    <w:rsid w:val="00962B5F"/>
    <w:rsid w:val="00963893"/>
    <w:rsid w:val="00965738"/>
    <w:rsid w:val="00970198"/>
    <w:rsid w:val="00971B87"/>
    <w:rsid w:val="0097346A"/>
    <w:rsid w:val="00974C65"/>
    <w:rsid w:val="00976E58"/>
    <w:rsid w:val="009811AE"/>
    <w:rsid w:val="00981DCF"/>
    <w:rsid w:val="00982E42"/>
    <w:rsid w:val="009838BC"/>
    <w:rsid w:val="009852DF"/>
    <w:rsid w:val="00987981"/>
    <w:rsid w:val="00992D17"/>
    <w:rsid w:val="009931E5"/>
    <w:rsid w:val="009933BF"/>
    <w:rsid w:val="0099618E"/>
    <w:rsid w:val="00996804"/>
    <w:rsid w:val="00997D92"/>
    <w:rsid w:val="009A01CE"/>
    <w:rsid w:val="009A086F"/>
    <w:rsid w:val="009A0A6F"/>
    <w:rsid w:val="009A420C"/>
    <w:rsid w:val="009A5064"/>
    <w:rsid w:val="009A6D7C"/>
    <w:rsid w:val="009A6F02"/>
    <w:rsid w:val="009B0E18"/>
    <w:rsid w:val="009B155C"/>
    <w:rsid w:val="009B2DA6"/>
    <w:rsid w:val="009B3232"/>
    <w:rsid w:val="009C015B"/>
    <w:rsid w:val="009C6071"/>
    <w:rsid w:val="009C79D7"/>
    <w:rsid w:val="009D2C6A"/>
    <w:rsid w:val="009D42D5"/>
    <w:rsid w:val="009E1397"/>
    <w:rsid w:val="009E4D9A"/>
    <w:rsid w:val="009E51C8"/>
    <w:rsid w:val="009F1C35"/>
    <w:rsid w:val="009F52BD"/>
    <w:rsid w:val="00A0051B"/>
    <w:rsid w:val="00A02498"/>
    <w:rsid w:val="00A02925"/>
    <w:rsid w:val="00A10D0E"/>
    <w:rsid w:val="00A11E6E"/>
    <w:rsid w:val="00A1322B"/>
    <w:rsid w:val="00A13FFF"/>
    <w:rsid w:val="00A14F9B"/>
    <w:rsid w:val="00A16FD3"/>
    <w:rsid w:val="00A239FB"/>
    <w:rsid w:val="00A26EAF"/>
    <w:rsid w:val="00A2795F"/>
    <w:rsid w:val="00A3036A"/>
    <w:rsid w:val="00A32508"/>
    <w:rsid w:val="00A32EA9"/>
    <w:rsid w:val="00A33879"/>
    <w:rsid w:val="00A33BBC"/>
    <w:rsid w:val="00A4098F"/>
    <w:rsid w:val="00A40D18"/>
    <w:rsid w:val="00A40D75"/>
    <w:rsid w:val="00A47255"/>
    <w:rsid w:val="00A52705"/>
    <w:rsid w:val="00A543A2"/>
    <w:rsid w:val="00A56455"/>
    <w:rsid w:val="00A57B6C"/>
    <w:rsid w:val="00A60278"/>
    <w:rsid w:val="00A62F0C"/>
    <w:rsid w:val="00A63F6D"/>
    <w:rsid w:val="00A7139B"/>
    <w:rsid w:val="00A737F3"/>
    <w:rsid w:val="00A73934"/>
    <w:rsid w:val="00A8334F"/>
    <w:rsid w:val="00A840CE"/>
    <w:rsid w:val="00A84A4C"/>
    <w:rsid w:val="00A85900"/>
    <w:rsid w:val="00A859A8"/>
    <w:rsid w:val="00A86129"/>
    <w:rsid w:val="00A877E5"/>
    <w:rsid w:val="00A911A2"/>
    <w:rsid w:val="00A922A7"/>
    <w:rsid w:val="00A94627"/>
    <w:rsid w:val="00A96266"/>
    <w:rsid w:val="00AA14BE"/>
    <w:rsid w:val="00AA242C"/>
    <w:rsid w:val="00AB4666"/>
    <w:rsid w:val="00AB7093"/>
    <w:rsid w:val="00AC0210"/>
    <w:rsid w:val="00AC09B9"/>
    <w:rsid w:val="00AC2D90"/>
    <w:rsid w:val="00AD2662"/>
    <w:rsid w:val="00AE3D17"/>
    <w:rsid w:val="00AE4FAF"/>
    <w:rsid w:val="00AF401F"/>
    <w:rsid w:val="00AF4ED4"/>
    <w:rsid w:val="00AF58B5"/>
    <w:rsid w:val="00AF68A1"/>
    <w:rsid w:val="00AF6F0C"/>
    <w:rsid w:val="00B02611"/>
    <w:rsid w:val="00B05B15"/>
    <w:rsid w:val="00B074CA"/>
    <w:rsid w:val="00B142AB"/>
    <w:rsid w:val="00B173F8"/>
    <w:rsid w:val="00B24FDA"/>
    <w:rsid w:val="00B26816"/>
    <w:rsid w:val="00B270EB"/>
    <w:rsid w:val="00B30C1D"/>
    <w:rsid w:val="00B34354"/>
    <w:rsid w:val="00B430E8"/>
    <w:rsid w:val="00B454CC"/>
    <w:rsid w:val="00B4656B"/>
    <w:rsid w:val="00B467A4"/>
    <w:rsid w:val="00B46A16"/>
    <w:rsid w:val="00B47B56"/>
    <w:rsid w:val="00B512BD"/>
    <w:rsid w:val="00B5222B"/>
    <w:rsid w:val="00B54BCD"/>
    <w:rsid w:val="00B55EE8"/>
    <w:rsid w:val="00B564C7"/>
    <w:rsid w:val="00B56AA8"/>
    <w:rsid w:val="00B56EF3"/>
    <w:rsid w:val="00B57D64"/>
    <w:rsid w:val="00B61682"/>
    <w:rsid w:val="00B618E8"/>
    <w:rsid w:val="00B63C01"/>
    <w:rsid w:val="00B67358"/>
    <w:rsid w:val="00B67799"/>
    <w:rsid w:val="00B70F80"/>
    <w:rsid w:val="00B72955"/>
    <w:rsid w:val="00B73398"/>
    <w:rsid w:val="00B74BFA"/>
    <w:rsid w:val="00B77422"/>
    <w:rsid w:val="00B818C2"/>
    <w:rsid w:val="00B82AA9"/>
    <w:rsid w:val="00B83822"/>
    <w:rsid w:val="00B84F9A"/>
    <w:rsid w:val="00B85343"/>
    <w:rsid w:val="00B9030E"/>
    <w:rsid w:val="00B91686"/>
    <w:rsid w:val="00B93D3E"/>
    <w:rsid w:val="00B93F1F"/>
    <w:rsid w:val="00B95DE3"/>
    <w:rsid w:val="00BA1517"/>
    <w:rsid w:val="00BA1669"/>
    <w:rsid w:val="00BA303C"/>
    <w:rsid w:val="00BA3D72"/>
    <w:rsid w:val="00BA5DD3"/>
    <w:rsid w:val="00BA5DEB"/>
    <w:rsid w:val="00BB251E"/>
    <w:rsid w:val="00BB39CB"/>
    <w:rsid w:val="00BB6D1D"/>
    <w:rsid w:val="00BB7FE6"/>
    <w:rsid w:val="00BC32F5"/>
    <w:rsid w:val="00BC5048"/>
    <w:rsid w:val="00BC71AC"/>
    <w:rsid w:val="00BC7542"/>
    <w:rsid w:val="00BD086D"/>
    <w:rsid w:val="00BD28CD"/>
    <w:rsid w:val="00BD5038"/>
    <w:rsid w:val="00BD770C"/>
    <w:rsid w:val="00BD7C80"/>
    <w:rsid w:val="00BD7E9F"/>
    <w:rsid w:val="00BD7EDA"/>
    <w:rsid w:val="00BE0563"/>
    <w:rsid w:val="00BE36BE"/>
    <w:rsid w:val="00BE45FF"/>
    <w:rsid w:val="00BE66E1"/>
    <w:rsid w:val="00C03C6C"/>
    <w:rsid w:val="00C07543"/>
    <w:rsid w:val="00C10B55"/>
    <w:rsid w:val="00C12DE3"/>
    <w:rsid w:val="00C1450E"/>
    <w:rsid w:val="00C20E27"/>
    <w:rsid w:val="00C22B9D"/>
    <w:rsid w:val="00C2710A"/>
    <w:rsid w:val="00C319D2"/>
    <w:rsid w:val="00C3214A"/>
    <w:rsid w:val="00C329E9"/>
    <w:rsid w:val="00C35401"/>
    <w:rsid w:val="00C37249"/>
    <w:rsid w:val="00C37337"/>
    <w:rsid w:val="00C37C35"/>
    <w:rsid w:val="00C40C3E"/>
    <w:rsid w:val="00C415F9"/>
    <w:rsid w:val="00C444CD"/>
    <w:rsid w:val="00C45E15"/>
    <w:rsid w:val="00C477C6"/>
    <w:rsid w:val="00C53AB8"/>
    <w:rsid w:val="00C559FF"/>
    <w:rsid w:val="00C576F0"/>
    <w:rsid w:val="00C60D55"/>
    <w:rsid w:val="00C62135"/>
    <w:rsid w:val="00C65A5A"/>
    <w:rsid w:val="00C66737"/>
    <w:rsid w:val="00C67DA4"/>
    <w:rsid w:val="00C71014"/>
    <w:rsid w:val="00C721FC"/>
    <w:rsid w:val="00C817AB"/>
    <w:rsid w:val="00C81D04"/>
    <w:rsid w:val="00C843DA"/>
    <w:rsid w:val="00C872C2"/>
    <w:rsid w:val="00C91301"/>
    <w:rsid w:val="00C925F0"/>
    <w:rsid w:val="00C96BDA"/>
    <w:rsid w:val="00C96C97"/>
    <w:rsid w:val="00CA02D0"/>
    <w:rsid w:val="00CA035B"/>
    <w:rsid w:val="00CA0AF5"/>
    <w:rsid w:val="00CA341C"/>
    <w:rsid w:val="00CA73DE"/>
    <w:rsid w:val="00CA74E2"/>
    <w:rsid w:val="00CB099C"/>
    <w:rsid w:val="00CB1326"/>
    <w:rsid w:val="00CB4962"/>
    <w:rsid w:val="00CB4C4D"/>
    <w:rsid w:val="00CB523F"/>
    <w:rsid w:val="00CB75EB"/>
    <w:rsid w:val="00CC0AEC"/>
    <w:rsid w:val="00CC0B42"/>
    <w:rsid w:val="00CC3AA9"/>
    <w:rsid w:val="00CC5056"/>
    <w:rsid w:val="00CC6A42"/>
    <w:rsid w:val="00CD317D"/>
    <w:rsid w:val="00CD3B40"/>
    <w:rsid w:val="00CD477D"/>
    <w:rsid w:val="00CD5373"/>
    <w:rsid w:val="00CD7292"/>
    <w:rsid w:val="00CE059E"/>
    <w:rsid w:val="00CE1E16"/>
    <w:rsid w:val="00CE2C10"/>
    <w:rsid w:val="00CE3DAC"/>
    <w:rsid w:val="00CE4BA8"/>
    <w:rsid w:val="00CE5437"/>
    <w:rsid w:val="00CE5871"/>
    <w:rsid w:val="00CE777B"/>
    <w:rsid w:val="00CF1606"/>
    <w:rsid w:val="00CF2E7C"/>
    <w:rsid w:val="00CF6100"/>
    <w:rsid w:val="00CF6E21"/>
    <w:rsid w:val="00D00EA0"/>
    <w:rsid w:val="00D04707"/>
    <w:rsid w:val="00D049B9"/>
    <w:rsid w:val="00D05046"/>
    <w:rsid w:val="00D06B71"/>
    <w:rsid w:val="00D11983"/>
    <w:rsid w:val="00D1207A"/>
    <w:rsid w:val="00D140D2"/>
    <w:rsid w:val="00D14E69"/>
    <w:rsid w:val="00D1636A"/>
    <w:rsid w:val="00D17027"/>
    <w:rsid w:val="00D21D8B"/>
    <w:rsid w:val="00D2510B"/>
    <w:rsid w:val="00D30565"/>
    <w:rsid w:val="00D31C4D"/>
    <w:rsid w:val="00D33EB8"/>
    <w:rsid w:val="00D3447D"/>
    <w:rsid w:val="00D34729"/>
    <w:rsid w:val="00D375FC"/>
    <w:rsid w:val="00D42847"/>
    <w:rsid w:val="00D47113"/>
    <w:rsid w:val="00D476A9"/>
    <w:rsid w:val="00D53341"/>
    <w:rsid w:val="00D5423E"/>
    <w:rsid w:val="00D573CB"/>
    <w:rsid w:val="00D623D5"/>
    <w:rsid w:val="00D64574"/>
    <w:rsid w:val="00D647C2"/>
    <w:rsid w:val="00D73684"/>
    <w:rsid w:val="00D763C3"/>
    <w:rsid w:val="00D802B8"/>
    <w:rsid w:val="00D835EE"/>
    <w:rsid w:val="00D90991"/>
    <w:rsid w:val="00D9195B"/>
    <w:rsid w:val="00D94279"/>
    <w:rsid w:val="00DA1DD4"/>
    <w:rsid w:val="00DA203A"/>
    <w:rsid w:val="00DA2BF9"/>
    <w:rsid w:val="00DB037C"/>
    <w:rsid w:val="00DB06EE"/>
    <w:rsid w:val="00DB2BDD"/>
    <w:rsid w:val="00DB65A1"/>
    <w:rsid w:val="00DB7FB5"/>
    <w:rsid w:val="00DC5366"/>
    <w:rsid w:val="00DD0909"/>
    <w:rsid w:val="00DD1DFE"/>
    <w:rsid w:val="00DD364E"/>
    <w:rsid w:val="00DD4246"/>
    <w:rsid w:val="00DD4611"/>
    <w:rsid w:val="00DD4E66"/>
    <w:rsid w:val="00DD5437"/>
    <w:rsid w:val="00DE19BF"/>
    <w:rsid w:val="00DE7B55"/>
    <w:rsid w:val="00DE7C82"/>
    <w:rsid w:val="00DF0A50"/>
    <w:rsid w:val="00DF1753"/>
    <w:rsid w:val="00DF1EED"/>
    <w:rsid w:val="00DF40C5"/>
    <w:rsid w:val="00DF493B"/>
    <w:rsid w:val="00DF6D53"/>
    <w:rsid w:val="00DF7D81"/>
    <w:rsid w:val="00E01F7D"/>
    <w:rsid w:val="00E04D1A"/>
    <w:rsid w:val="00E04F1C"/>
    <w:rsid w:val="00E054E0"/>
    <w:rsid w:val="00E05EBE"/>
    <w:rsid w:val="00E13808"/>
    <w:rsid w:val="00E17A98"/>
    <w:rsid w:val="00E27A72"/>
    <w:rsid w:val="00E3277E"/>
    <w:rsid w:val="00E32BE8"/>
    <w:rsid w:val="00E3319A"/>
    <w:rsid w:val="00E34A35"/>
    <w:rsid w:val="00E36196"/>
    <w:rsid w:val="00E41F35"/>
    <w:rsid w:val="00E4313B"/>
    <w:rsid w:val="00E448A3"/>
    <w:rsid w:val="00E4733C"/>
    <w:rsid w:val="00E5181D"/>
    <w:rsid w:val="00E5306B"/>
    <w:rsid w:val="00E53B0D"/>
    <w:rsid w:val="00E547E0"/>
    <w:rsid w:val="00E56373"/>
    <w:rsid w:val="00E5746C"/>
    <w:rsid w:val="00E578AB"/>
    <w:rsid w:val="00E603B7"/>
    <w:rsid w:val="00E61520"/>
    <w:rsid w:val="00E62119"/>
    <w:rsid w:val="00E627BE"/>
    <w:rsid w:val="00E63709"/>
    <w:rsid w:val="00E66421"/>
    <w:rsid w:val="00E668D6"/>
    <w:rsid w:val="00E66904"/>
    <w:rsid w:val="00E66A7B"/>
    <w:rsid w:val="00E6732E"/>
    <w:rsid w:val="00E70C4D"/>
    <w:rsid w:val="00E711BA"/>
    <w:rsid w:val="00E7298A"/>
    <w:rsid w:val="00E74050"/>
    <w:rsid w:val="00E74411"/>
    <w:rsid w:val="00E765AF"/>
    <w:rsid w:val="00E768F1"/>
    <w:rsid w:val="00E80A20"/>
    <w:rsid w:val="00E8306D"/>
    <w:rsid w:val="00E83A82"/>
    <w:rsid w:val="00E87F81"/>
    <w:rsid w:val="00E9090B"/>
    <w:rsid w:val="00E90A10"/>
    <w:rsid w:val="00E90BB8"/>
    <w:rsid w:val="00E928C5"/>
    <w:rsid w:val="00E935C3"/>
    <w:rsid w:val="00EA072E"/>
    <w:rsid w:val="00EA49B1"/>
    <w:rsid w:val="00EB1FAF"/>
    <w:rsid w:val="00EB29C2"/>
    <w:rsid w:val="00EB4240"/>
    <w:rsid w:val="00EB7011"/>
    <w:rsid w:val="00EB7A73"/>
    <w:rsid w:val="00EC7442"/>
    <w:rsid w:val="00ED4958"/>
    <w:rsid w:val="00ED6759"/>
    <w:rsid w:val="00ED6E50"/>
    <w:rsid w:val="00EE02B6"/>
    <w:rsid w:val="00EE19C8"/>
    <w:rsid w:val="00EE2FC8"/>
    <w:rsid w:val="00EE5FD8"/>
    <w:rsid w:val="00EE6D86"/>
    <w:rsid w:val="00EF27DA"/>
    <w:rsid w:val="00EF5026"/>
    <w:rsid w:val="00EF57AA"/>
    <w:rsid w:val="00F035F5"/>
    <w:rsid w:val="00F04A92"/>
    <w:rsid w:val="00F11357"/>
    <w:rsid w:val="00F11EDE"/>
    <w:rsid w:val="00F136C4"/>
    <w:rsid w:val="00F16CF9"/>
    <w:rsid w:val="00F21F05"/>
    <w:rsid w:val="00F24C46"/>
    <w:rsid w:val="00F3068A"/>
    <w:rsid w:val="00F3095F"/>
    <w:rsid w:val="00F33407"/>
    <w:rsid w:val="00F341ED"/>
    <w:rsid w:val="00F36DCF"/>
    <w:rsid w:val="00F4284B"/>
    <w:rsid w:val="00F432F2"/>
    <w:rsid w:val="00F43786"/>
    <w:rsid w:val="00F4415F"/>
    <w:rsid w:val="00F5006E"/>
    <w:rsid w:val="00F51C04"/>
    <w:rsid w:val="00F52364"/>
    <w:rsid w:val="00F525AE"/>
    <w:rsid w:val="00F52BD3"/>
    <w:rsid w:val="00F53F5F"/>
    <w:rsid w:val="00F55127"/>
    <w:rsid w:val="00F55615"/>
    <w:rsid w:val="00F56D9E"/>
    <w:rsid w:val="00F64467"/>
    <w:rsid w:val="00F67798"/>
    <w:rsid w:val="00F70D09"/>
    <w:rsid w:val="00F74053"/>
    <w:rsid w:val="00F74E38"/>
    <w:rsid w:val="00F76444"/>
    <w:rsid w:val="00F7658B"/>
    <w:rsid w:val="00F779FD"/>
    <w:rsid w:val="00F83210"/>
    <w:rsid w:val="00F84CCA"/>
    <w:rsid w:val="00F861A8"/>
    <w:rsid w:val="00F86679"/>
    <w:rsid w:val="00F87E24"/>
    <w:rsid w:val="00F91220"/>
    <w:rsid w:val="00F95822"/>
    <w:rsid w:val="00F96673"/>
    <w:rsid w:val="00F9673A"/>
    <w:rsid w:val="00F96AF8"/>
    <w:rsid w:val="00FA2647"/>
    <w:rsid w:val="00FA2A8C"/>
    <w:rsid w:val="00FA3FE7"/>
    <w:rsid w:val="00FB04CE"/>
    <w:rsid w:val="00FB1335"/>
    <w:rsid w:val="00FB3DA9"/>
    <w:rsid w:val="00FB52ED"/>
    <w:rsid w:val="00FC124C"/>
    <w:rsid w:val="00FC1CFD"/>
    <w:rsid w:val="00FC214B"/>
    <w:rsid w:val="00FC277C"/>
    <w:rsid w:val="00FC45CC"/>
    <w:rsid w:val="00FC5646"/>
    <w:rsid w:val="00FC7258"/>
    <w:rsid w:val="00FD254F"/>
    <w:rsid w:val="00FD3DC7"/>
    <w:rsid w:val="00FD3E21"/>
    <w:rsid w:val="00FD455E"/>
    <w:rsid w:val="00FD7FB9"/>
    <w:rsid w:val="00FE29C5"/>
    <w:rsid w:val="00FE5081"/>
    <w:rsid w:val="00FF335C"/>
    <w:rsid w:val="016F5F77"/>
    <w:rsid w:val="0FA97B3F"/>
    <w:rsid w:val="14DD3870"/>
    <w:rsid w:val="186513E6"/>
    <w:rsid w:val="3DA15011"/>
    <w:rsid w:val="47ED3A0E"/>
    <w:rsid w:val="4E4412DF"/>
    <w:rsid w:val="50391D9E"/>
    <w:rsid w:val="5BE34F5C"/>
    <w:rsid w:val="69014BAD"/>
    <w:rsid w:val="6B040445"/>
    <w:rsid w:val="7395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0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 CYR" w:hAnsi="Times New Roman CYR" w:eastAsia="Times New Roman" w:cs="Times New Roman CYR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38"/>
    <w:qFormat/>
    <w:uiPriority w:val="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5"/>
    <w:qFormat/>
    <w:uiPriority w:val="0"/>
    <w:pPr>
      <w:keepNext/>
      <w:widowControl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  <w:lang w:val="uk-U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7"/>
    <w:link w:val="50"/>
    <w:qFormat/>
    <w:uiPriority w:val="0"/>
    <w:pPr>
      <w:widowControl/>
    </w:pPr>
    <w:rPr>
      <w:rFonts w:ascii="Tahoma" w:hAnsi="Tahoma" w:cs="Tahoma"/>
      <w:sz w:val="16"/>
      <w:szCs w:val="16"/>
    </w:rPr>
  </w:style>
  <w:style w:type="paragraph" w:customStyle="1" w:styleId="7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 CYR" w:hAnsi="Times New Roman CYR" w:eastAsia="Times New Roman" w:cs="Times New Roman CYR"/>
      <w:kern w:val="3"/>
      <w:sz w:val="24"/>
      <w:szCs w:val="24"/>
      <w:lang w:val="ru-RU" w:eastAsia="ru-RU" w:bidi="hi-IN"/>
    </w:rPr>
  </w:style>
  <w:style w:type="paragraph" w:styleId="8">
    <w:name w:val="Body Text"/>
    <w:basedOn w:val="1"/>
    <w:link w:val="27"/>
    <w:unhideWhenUsed/>
    <w:qFormat/>
    <w:uiPriority w:val="0"/>
    <w:pPr>
      <w:spacing w:after="120"/>
    </w:pPr>
  </w:style>
  <w:style w:type="paragraph" w:styleId="9">
    <w:name w:val="Body Text 3"/>
    <w:basedOn w:val="1"/>
    <w:link w:val="23"/>
    <w:qFormat/>
    <w:uiPriority w:val="0"/>
    <w:pPr>
      <w:spacing w:after="120"/>
    </w:pPr>
    <w:rPr>
      <w:sz w:val="16"/>
      <w:szCs w:val="16"/>
    </w:rPr>
  </w:style>
  <w:style w:type="character" w:styleId="10">
    <w:name w:val="FollowedHyperlink"/>
    <w:qFormat/>
    <w:uiPriority w:val="0"/>
    <w:rPr>
      <w:color w:val="800080"/>
      <w:u w:val="single"/>
    </w:rPr>
  </w:style>
  <w:style w:type="paragraph" w:styleId="11">
    <w:name w:val="footer"/>
    <w:basedOn w:val="1"/>
    <w:link w:val="40"/>
    <w:qFormat/>
    <w:uiPriority w:val="0"/>
    <w:pPr>
      <w:widowControl/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</w:rPr>
  </w:style>
  <w:style w:type="character" w:styleId="12">
    <w:name w:val="footnote reference"/>
    <w:basedOn w:val="4"/>
    <w:semiHidden/>
    <w:qFormat/>
    <w:uiPriority w:val="0"/>
    <w:rPr>
      <w:vertAlign w:val="superscript"/>
    </w:rPr>
  </w:style>
  <w:style w:type="paragraph" w:styleId="13">
    <w:name w:val="footnote text"/>
    <w:basedOn w:val="1"/>
    <w:link w:val="21"/>
    <w:semiHidden/>
    <w:qFormat/>
    <w:uiPriority w:val="0"/>
    <w:pPr>
      <w:widowControl/>
      <w:overflowPunct w:val="0"/>
      <w:adjustRightInd w:val="0"/>
      <w:spacing w:line="360" w:lineRule="auto"/>
      <w:ind w:firstLine="567"/>
      <w:textAlignment w:val="baseline"/>
    </w:pPr>
    <w:rPr>
      <w:rFonts w:ascii="Arial" w:hAnsi="Arial" w:cs="Times New Roman"/>
      <w:sz w:val="20"/>
      <w:szCs w:val="20"/>
    </w:rPr>
  </w:style>
  <w:style w:type="paragraph" w:styleId="14">
    <w:name w:val="header"/>
    <w:basedOn w:val="1"/>
    <w:link w:val="56"/>
    <w:unhideWhenUsed/>
    <w:qFormat/>
    <w:uiPriority w:val="99"/>
    <w:pPr>
      <w:tabs>
        <w:tab w:val="center" w:pos="4677"/>
        <w:tab w:val="right" w:pos="9355"/>
      </w:tabs>
    </w:pPr>
  </w:style>
  <w:style w:type="paragraph" w:styleId="15">
    <w:name w:val="HTML Preformatted"/>
    <w:basedOn w:val="1"/>
    <w:link w:val="36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styleId="16">
    <w:name w:val="Hyperlink"/>
    <w:semiHidden/>
    <w:qFormat/>
    <w:uiPriority w:val="99"/>
    <w:rPr>
      <w:rFonts w:cs="Times New Roman"/>
      <w:color w:val="0000FF"/>
      <w:u w:val="single"/>
    </w:rPr>
  </w:style>
  <w:style w:type="paragraph" w:styleId="17">
    <w:name w:val="List Number"/>
    <w:basedOn w:val="1"/>
    <w:unhideWhenUsed/>
    <w:qFormat/>
    <w:uiPriority w:val="0"/>
    <w:pPr>
      <w:tabs>
        <w:tab w:val="left" w:pos="720"/>
      </w:tabs>
      <w:ind w:left="720" w:hanging="720"/>
      <w:contextualSpacing/>
    </w:pPr>
  </w:style>
  <w:style w:type="paragraph" w:styleId="18">
    <w:name w:val="Normal (Web)"/>
    <w:basedOn w:val="1"/>
    <w:qFormat/>
    <w:uiPriority w:val="99"/>
    <w:pPr>
      <w:widowControl/>
      <w:autoSpaceDE/>
      <w:autoSpaceDN/>
      <w:spacing w:before="100" w:beforeAutospacing="1" w:after="100" w:afterAutospacing="1"/>
    </w:pPr>
    <w:rPr>
      <w:rFonts w:ascii="Comic Sans MS" w:hAnsi="Comic Sans MS" w:cs="Times New Roman"/>
      <w:color w:val="000000"/>
      <w:sz w:val="20"/>
      <w:szCs w:val="20"/>
    </w:rPr>
  </w:style>
  <w:style w:type="character" w:styleId="19">
    <w:name w:val="Strong"/>
    <w:basedOn w:val="4"/>
    <w:qFormat/>
    <w:uiPriority w:val="0"/>
    <w:rPr>
      <w:b/>
      <w:bCs/>
    </w:rPr>
  </w:style>
  <w:style w:type="table" w:styleId="20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Текст сноски Знак"/>
    <w:basedOn w:val="4"/>
    <w:link w:val="13"/>
    <w:semiHidden/>
    <w:qFormat/>
    <w:uiPriority w:val="0"/>
    <w:rPr>
      <w:rFonts w:ascii="Arial" w:hAnsi="Arial" w:eastAsia="Times New Roman" w:cs="Times New Roman"/>
      <w:sz w:val="20"/>
      <w:szCs w:val="20"/>
      <w:lang w:eastAsia="ru-RU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character" w:customStyle="1" w:styleId="23">
    <w:name w:val="Основной текст 3 Знак"/>
    <w:basedOn w:val="4"/>
    <w:link w:val="9"/>
    <w:qFormat/>
    <w:uiPriority w:val="0"/>
    <w:rPr>
      <w:rFonts w:ascii="Times New Roman CYR" w:hAnsi="Times New Roman CYR" w:eastAsia="Times New Roman" w:cs="Times New Roman CYR"/>
      <w:sz w:val="16"/>
      <w:szCs w:val="16"/>
      <w:lang w:eastAsia="ru-RU"/>
    </w:rPr>
  </w:style>
  <w:style w:type="character" w:customStyle="1" w:styleId="24">
    <w:name w:val="Human Symbol"/>
    <w:basedOn w:val="4"/>
    <w:qFormat/>
    <w:uiPriority w:val="0"/>
    <w:rPr>
      <w:rFonts w:ascii="Symbole Human" w:hAnsi="Symbole Human"/>
      <w:spacing w:val="0"/>
      <w:sz w:val="13"/>
    </w:rPr>
  </w:style>
  <w:style w:type="paragraph" w:customStyle="1" w:styleId="25">
    <w:name w:val="Human Tabelle"/>
    <w:basedOn w:val="1"/>
    <w:qFormat/>
    <w:uiPriority w:val="0"/>
    <w:pPr>
      <w:widowControl/>
      <w:autoSpaceDE/>
      <w:autoSpaceDN/>
      <w:spacing w:after="60" w:line="180" w:lineRule="exact"/>
    </w:pPr>
    <w:rPr>
      <w:rFonts w:ascii="TheSans B4 SemiLight" w:hAnsi="TheSans B4 SemiLight" w:cs="Times New Roman"/>
      <w:sz w:val="15"/>
      <w:szCs w:val="20"/>
      <w:lang w:val="en-GB" w:eastAsia="de-DE"/>
    </w:rPr>
  </w:style>
  <w:style w:type="paragraph" w:customStyle="1" w:styleId="26">
    <w:name w:val="Human Fließtext Hervorhebung"/>
    <w:basedOn w:val="1"/>
    <w:next w:val="1"/>
    <w:qFormat/>
    <w:uiPriority w:val="0"/>
    <w:pPr>
      <w:widowControl/>
      <w:autoSpaceDE/>
      <w:autoSpaceDN/>
      <w:spacing w:after="60" w:line="180" w:lineRule="exact"/>
      <w:jc w:val="both"/>
    </w:pPr>
    <w:rPr>
      <w:rFonts w:ascii="TheSans B7 Bold" w:hAnsi="TheSans B7 Bold" w:cs="Times New Roman"/>
      <w:sz w:val="15"/>
      <w:szCs w:val="20"/>
      <w:lang w:val="de-DE" w:eastAsia="de-DE"/>
    </w:rPr>
  </w:style>
  <w:style w:type="character" w:customStyle="1" w:styleId="27">
    <w:name w:val="Основной текст Знак"/>
    <w:basedOn w:val="4"/>
    <w:link w:val="8"/>
    <w:qFormat/>
    <w:uiPriority w:val="99"/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character" w:customStyle="1" w:styleId="28">
    <w:name w:val="hps"/>
    <w:basedOn w:val="4"/>
    <w:qFormat/>
    <w:uiPriority w:val="99"/>
  </w:style>
  <w:style w:type="paragraph" w:customStyle="1" w:styleId="29">
    <w:name w:val="Pa6"/>
    <w:basedOn w:val="1"/>
    <w:next w:val="1"/>
    <w:qFormat/>
    <w:uiPriority w:val="99"/>
    <w:pPr>
      <w:widowControl/>
      <w:adjustRightInd w:val="0"/>
      <w:spacing w:line="201" w:lineRule="atLeast"/>
    </w:pPr>
    <w:rPr>
      <w:rFonts w:ascii="Century Schoolbook" w:hAnsi="Century Schoolbook" w:eastAsiaTheme="minorHAnsi" w:cstheme="minorBidi"/>
      <w:lang w:eastAsia="en-US"/>
    </w:rPr>
  </w:style>
  <w:style w:type="paragraph" w:customStyle="1" w:styleId="30">
    <w:name w:val="Pa7"/>
    <w:basedOn w:val="1"/>
    <w:next w:val="1"/>
    <w:qFormat/>
    <w:uiPriority w:val="99"/>
    <w:pPr>
      <w:widowControl/>
      <w:adjustRightInd w:val="0"/>
      <w:spacing w:line="181" w:lineRule="atLeast"/>
    </w:pPr>
    <w:rPr>
      <w:rFonts w:ascii="Century Schoolbook" w:hAnsi="Century Schoolbook" w:eastAsiaTheme="minorHAnsi" w:cstheme="minorBidi"/>
      <w:lang w:eastAsia="en-US"/>
    </w:rPr>
  </w:style>
  <w:style w:type="character" w:customStyle="1" w:styleId="31">
    <w:name w:val="A8"/>
    <w:qFormat/>
    <w:uiPriority w:val="99"/>
    <w:rPr>
      <w:rFonts w:cs="Century Schoolbook"/>
      <w:color w:val="000000"/>
      <w:sz w:val="13"/>
      <w:szCs w:val="13"/>
    </w:rPr>
  </w:style>
  <w:style w:type="paragraph" w:customStyle="1" w:styleId="32">
    <w:name w:val="заголовок 6"/>
    <w:basedOn w:val="1"/>
    <w:next w:val="1"/>
    <w:qFormat/>
    <w:uiPriority w:val="0"/>
    <w:pPr>
      <w:keepNext/>
      <w:widowControl/>
      <w:autoSpaceDE/>
      <w:autoSpaceDN/>
      <w:spacing w:line="360" w:lineRule="atLeast"/>
    </w:pPr>
    <w:rPr>
      <w:rFonts w:ascii="Arial" w:hAnsi="Arial" w:cs="Times New Roman"/>
      <w:b/>
      <w:sz w:val="28"/>
      <w:szCs w:val="20"/>
    </w:rPr>
  </w:style>
  <w:style w:type="paragraph" w:customStyle="1" w:styleId="33">
    <w:name w:val="Основной текст с отступом 31"/>
    <w:basedOn w:val="1"/>
    <w:qFormat/>
    <w:uiPriority w:val="0"/>
    <w:pPr>
      <w:widowControl/>
      <w:autoSpaceDE/>
      <w:autoSpaceDN/>
      <w:spacing w:line="360" w:lineRule="auto"/>
      <w:ind w:firstLine="567"/>
      <w:jc w:val="both"/>
    </w:pPr>
    <w:rPr>
      <w:rFonts w:ascii="Times New Roman" w:hAnsi="Times New Roman" w:cs="Times New Roman"/>
      <w:sz w:val="28"/>
      <w:szCs w:val="20"/>
      <w:lang w:val="en-US"/>
    </w:rPr>
  </w:style>
  <w:style w:type="paragraph" w:customStyle="1" w:styleId="34">
    <w:name w:val="Стиль3"/>
    <w:basedOn w:val="17"/>
    <w:qFormat/>
    <w:uiPriority w:val="0"/>
    <w:pPr>
      <w:widowControl/>
      <w:tabs>
        <w:tab w:val="clear" w:pos="720"/>
      </w:tabs>
      <w:autoSpaceDE/>
      <w:autoSpaceDN/>
      <w:ind w:left="0" w:firstLine="0"/>
      <w:contextualSpacing w:val="0"/>
    </w:pPr>
    <w:rPr>
      <w:rFonts w:ascii="Times New Roman" w:hAnsi="Times New Roman" w:cs="Times New Roman"/>
    </w:rPr>
  </w:style>
  <w:style w:type="character" w:customStyle="1" w:styleId="35">
    <w:name w:val="Заголовок 2 Знак"/>
    <w:basedOn w:val="4"/>
    <w:link w:val="3"/>
    <w:qFormat/>
    <w:uiPriority w:val="0"/>
    <w:rPr>
      <w:rFonts w:ascii="Times New Roman" w:hAnsi="Times New Roman" w:eastAsia="Times New Roman" w:cs="Times New Roman"/>
      <w:b/>
      <w:sz w:val="28"/>
      <w:szCs w:val="20"/>
      <w:lang w:val="uk-UA" w:eastAsia="ru-RU"/>
    </w:rPr>
  </w:style>
  <w:style w:type="character" w:customStyle="1" w:styleId="36">
    <w:name w:val="Стандартный HTML Знак"/>
    <w:basedOn w:val="4"/>
    <w:link w:val="15"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37">
    <w:name w:val="short_text"/>
    <w:basedOn w:val="4"/>
    <w:qFormat/>
    <w:uiPriority w:val="0"/>
  </w:style>
  <w:style w:type="character" w:customStyle="1" w:styleId="38">
    <w:name w:val="Заголовок 1 Знак"/>
    <w:basedOn w:val="4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ru-RU"/>
    </w:rPr>
  </w:style>
  <w:style w:type="paragraph" w:styleId="39">
    <w:name w:val="No Spacing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uk-UA" w:eastAsia="en-US" w:bidi="ar-SA"/>
    </w:rPr>
  </w:style>
  <w:style w:type="character" w:customStyle="1" w:styleId="40">
    <w:name w:val="Нижний колонтитул Знак"/>
    <w:basedOn w:val="4"/>
    <w:link w:val="1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1">
    <w:name w:val="xl4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4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 w:eastAsiaTheme="minorHAnsi"/>
      <w:color w:val="000000"/>
      <w:sz w:val="24"/>
      <w:szCs w:val="24"/>
      <w:lang w:val="ru-RU" w:eastAsia="en-US" w:bidi="ar-SA"/>
    </w:rPr>
  </w:style>
  <w:style w:type="paragraph" w:customStyle="1" w:styleId="43">
    <w:name w:val="para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44">
    <w:name w:val="Text body"/>
    <w:basedOn w:val="7"/>
    <w:qFormat/>
    <w:uiPriority w:val="0"/>
    <w:pPr>
      <w:spacing w:after="120"/>
    </w:pPr>
  </w:style>
  <w:style w:type="paragraph" w:customStyle="1" w:styleId="45">
    <w:name w:val="Заголовок 11"/>
    <w:basedOn w:val="7"/>
    <w:next w:val="44"/>
    <w:qFormat/>
    <w:uiPriority w:val="0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customStyle="1" w:styleId="46">
    <w:name w:val="Знак Знак"/>
    <w:basedOn w:val="1"/>
    <w:qFormat/>
    <w:uiPriority w:val="0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7">
    <w:name w:val="xl69"/>
    <w:basedOn w:val="1"/>
    <w:qFormat/>
    <w:uiPriority w:val="0"/>
    <w:pPr>
      <w:widowControl/>
      <w:autoSpaceDE/>
      <w:autoSpaceDN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48">
    <w:name w:val="Основной текст (2)_"/>
    <w:link w:val="49"/>
    <w:qFormat/>
    <w:uiPriority w:val="0"/>
    <w:rPr>
      <w:shd w:val="clear" w:color="auto" w:fill="FFFFFF"/>
    </w:rPr>
  </w:style>
  <w:style w:type="paragraph" w:customStyle="1" w:styleId="49">
    <w:name w:val="Основной текст (2)"/>
    <w:basedOn w:val="1"/>
    <w:link w:val="48"/>
    <w:qFormat/>
    <w:uiPriority w:val="0"/>
    <w:pPr>
      <w:shd w:val="clear" w:color="auto" w:fill="FFFFFF"/>
      <w:autoSpaceDE/>
      <w:autoSpaceDN/>
      <w:spacing w:line="312" w:lineRule="exact"/>
      <w:ind w:hanging="340"/>
      <w:jc w:val="both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50">
    <w:name w:val="Текст выноски Знак"/>
    <w:basedOn w:val="4"/>
    <w:link w:val="6"/>
    <w:qFormat/>
    <w:uiPriority w:val="0"/>
    <w:rPr>
      <w:rFonts w:ascii="Tahoma" w:hAnsi="Tahoma" w:eastAsia="Times New Roman" w:cs="Tahoma"/>
      <w:kern w:val="3"/>
      <w:sz w:val="16"/>
      <w:szCs w:val="16"/>
      <w:lang w:eastAsia="ru-RU" w:bidi="hi-IN"/>
    </w:rPr>
  </w:style>
  <w:style w:type="character" w:customStyle="1" w:styleId="51">
    <w:name w:val="y2iqfc"/>
    <w:basedOn w:val="4"/>
    <w:qFormat/>
    <w:uiPriority w:val="0"/>
  </w:style>
  <w:style w:type="character" w:customStyle="1" w:styleId="52">
    <w:name w:val="Strong Emphasis"/>
    <w:qFormat/>
    <w:uiPriority w:val="0"/>
    <w:rPr>
      <w:b/>
      <w:bCs/>
    </w:rPr>
  </w:style>
  <w:style w:type="paragraph" w:customStyle="1" w:styleId="53">
    <w:name w:val="Знак Знак1 Знак"/>
    <w:basedOn w:val="1"/>
    <w:qFormat/>
    <w:uiPriority w:val="0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54">
    <w:name w:val="Без интервала1"/>
    <w:link w:val="55"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 CYR" w:hAnsi="Times New Roman CYR" w:eastAsia="Times New Roman" w:cs="Times New Roman CYR"/>
      <w:sz w:val="24"/>
      <w:szCs w:val="24"/>
      <w:lang w:val="ru-RU" w:eastAsia="ru-RU" w:bidi="ar-SA"/>
    </w:rPr>
  </w:style>
  <w:style w:type="character" w:customStyle="1" w:styleId="55">
    <w:name w:val="No Spacing Char1"/>
    <w:link w:val="54"/>
    <w:qFormat/>
    <w:locked/>
    <w:uiPriority w:val="0"/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character" w:customStyle="1" w:styleId="56">
    <w:name w:val="Верхний колонтитул Знак"/>
    <w:basedOn w:val="4"/>
    <w:link w:val="14"/>
    <w:qFormat/>
    <w:uiPriority w:val="99"/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customStyle="1" w:styleId="57">
    <w:name w:val="Normal1"/>
    <w:qFormat/>
    <w:uiPriority w:val="0"/>
    <w:rPr>
      <w:rFonts w:ascii="Times New Roman" w:hAnsi="Times New Roman" w:eastAsia="SimSun" w:cs="Times New Roman"/>
      <w:sz w:val="24"/>
      <w:szCs w:val="24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D6DF-436F-446E-9FE7-BD7EE5C00A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40</Pages>
  <Words>13657</Words>
  <Characters>77848</Characters>
  <Lines>648</Lines>
  <Paragraphs>182</Paragraphs>
  <TotalTime>1</TotalTime>
  <ScaleCrop>false</ScaleCrop>
  <LinksUpToDate>false</LinksUpToDate>
  <CharactersWithSpaces>91323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2017-09-28T07:11:00Z</dcterms:created>
  <dc:creator>l.zvyagina</dc:creator>
  <cp:lastModifiedBy>Татьяна</cp:lastModifiedBy>
  <cp:lastPrinted>2020-02-13T11:40:00Z</cp:lastPrinted>
  <dcterms:modified xsi:type="dcterms:W3CDTF">2024-02-23T09:31:42Z</dcterms:modified>
  <cp:revision>638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061F5ADAB74448C1AE473750DAC28FF8_13</vt:lpwstr>
  </property>
</Properties>
</file>