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3F241B"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Управління освіти виконавчого комітету </w:t>
            </w: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протокол </w:t>
            </w:r>
            <w:r w:rsidR="008370EB" w:rsidRPr="00B868D7">
              <w:rPr>
                <w:rFonts w:ascii="Times New Roman" w:eastAsia="Times New Roman" w:hAnsi="Times New Roman" w:cs="Times New Roman"/>
                <w:bCs/>
                <w:color w:val="000000" w:themeColor="text1"/>
                <w:sz w:val="24"/>
                <w:szCs w:val="24"/>
              </w:rPr>
              <w:t>№</w:t>
            </w:r>
            <w:r w:rsidR="00B868D7" w:rsidRPr="00B868D7">
              <w:rPr>
                <w:rFonts w:ascii="Times New Roman" w:eastAsia="Times New Roman" w:hAnsi="Times New Roman" w:cs="Times New Roman"/>
                <w:bCs/>
                <w:color w:val="000000" w:themeColor="text1"/>
                <w:sz w:val="24"/>
                <w:szCs w:val="24"/>
              </w:rPr>
              <w:t>15</w:t>
            </w:r>
            <w:r w:rsidR="000A6BD8" w:rsidRPr="00B868D7">
              <w:rPr>
                <w:rFonts w:ascii="Times New Roman" w:eastAsia="Times New Roman" w:hAnsi="Times New Roman" w:cs="Times New Roman"/>
                <w:bCs/>
                <w:color w:val="000000" w:themeColor="text1"/>
                <w:sz w:val="24"/>
                <w:szCs w:val="24"/>
              </w:rPr>
              <w:t xml:space="preserve"> від 31</w:t>
            </w:r>
            <w:r w:rsidR="003F241B" w:rsidRPr="00B868D7">
              <w:rPr>
                <w:rFonts w:ascii="Times New Roman" w:eastAsia="Times New Roman" w:hAnsi="Times New Roman" w:cs="Times New Roman"/>
                <w:bCs/>
                <w:color w:val="000000" w:themeColor="text1"/>
                <w:sz w:val="24"/>
                <w:szCs w:val="24"/>
              </w:rPr>
              <w:t>.01.2024 року</w:t>
            </w:r>
            <w:r w:rsidR="003F241B" w:rsidRPr="003F241B">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B868D7" w:rsidP="008133D6">
            <w:pPr>
              <w:tabs>
                <w:tab w:val="left" w:pos="6021"/>
              </w:tabs>
              <w:spacing w:after="0" w:line="240" w:lineRule="auto"/>
              <w:ind w:left="6021"/>
              <w:rPr>
                <w:rFonts w:ascii="Times New Roman" w:eastAsia="Times New Roman" w:hAnsi="Times New Roman" w:cs="Times New Roman"/>
                <w:sz w:val="24"/>
                <w:szCs w:val="24"/>
                <w:lang w:eastAsia="ru-RU"/>
              </w:rPr>
            </w:pPr>
            <w:r w:rsidRPr="00B868D7">
              <w:rPr>
                <w:rFonts w:ascii="Times New Roman" w:eastAsia="Times New Roman" w:hAnsi="Times New Roman" w:cs="Times New Roman"/>
                <w:bCs/>
                <w:color w:val="000000" w:themeColor="text1"/>
                <w:sz w:val="24"/>
                <w:szCs w:val="24"/>
                <w:lang w:eastAsia="ru-RU"/>
              </w:rPr>
              <w:t>Мотоман  М.</w:t>
            </w:r>
            <w:r>
              <w:rPr>
                <w:rFonts w:ascii="Times New Roman" w:eastAsia="Times New Roman" w:hAnsi="Times New Roman" w:cs="Times New Roman"/>
                <w:bCs/>
                <w:color w:val="000000" w:themeColor="text1"/>
                <w:sz w:val="24"/>
                <w:szCs w:val="24"/>
                <w:lang w:eastAsia="ru-RU"/>
              </w:rPr>
              <w:t>П</w:t>
            </w:r>
            <w:r w:rsidR="003B4460" w:rsidRPr="003B4460">
              <w:rPr>
                <w:rFonts w:ascii="Times New Roman" w:eastAsia="Times New Roman" w:hAnsi="Times New Roman" w:cs="Times New Roman"/>
                <w:bCs/>
                <w:color w:val="000000" w:themeColor="text1"/>
                <w:sz w:val="24"/>
                <w:szCs w:val="24"/>
                <w:lang w:eastAsia="ru-RU"/>
              </w:rPr>
              <w:t>.</w:t>
            </w:r>
            <w:r w:rsidR="008133D6" w:rsidRPr="003F241B">
              <w:rPr>
                <w:rFonts w:ascii="Times New Roman" w:eastAsia="Times New Roman" w:hAnsi="Times New Roman" w:cs="Times New Roman"/>
                <w:sz w:val="24"/>
                <w:szCs w:val="24"/>
                <w:lang w:eastAsia="ru-RU"/>
              </w:rPr>
              <w:t xml:space="preserve"> </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844F29" w:rsidRPr="00844F29" w:rsidRDefault="00844F29" w:rsidP="00844F29">
            <w:pPr>
              <w:spacing w:after="0" w:line="240" w:lineRule="auto"/>
              <w:jc w:val="center"/>
              <w:rPr>
                <w:rFonts w:ascii="Times New Roman" w:eastAsia="Times New Roman" w:hAnsi="Times New Roman" w:cs="Times New Roman"/>
                <w:b/>
                <w:color w:val="000000"/>
                <w:sz w:val="32"/>
                <w:szCs w:val="28"/>
                <w:lang w:eastAsia="ru-RU"/>
              </w:rPr>
            </w:pPr>
            <w:r w:rsidRPr="00844F29">
              <w:rPr>
                <w:rFonts w:ascii="Times New Roman" w:eastAsia="Times New Roman" w:hAnsi="Times New Roman" w:cs="Times New Roman"/>
                <w:b/>
                <w:color w:val="000000"/>
                <w:sz w:val="32"/>
                <w:szCs w:val="28"/>
                <w:lang w:eastAsia="ru-RU"/>
              </w:rPr>
              <w:t>ТЕНДЕРНА ДОКУМЕНТАЦІЯ</w:t>
            </w:r>
          </w:p>
          <w:p w:rsidR="00844F29" w:rsidRPr="00844F29"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844F29">
              <w:rPr>
                <w:rFonts w:ascii="Times New Roman" w:eastAsia="Times New Roman" w:hAnsi="Times New Roman" w:cs="Times New Roman"/>
                <w:color w:val="000000"/>
                <w:sz w:val="28"/>
                <w:szCs w:val="28"/>
                <w:lang w:eastAsia="ru-RU"/>
              </w:rPr>
              <w:t>Відкриті торги з особливостями</w:t>
            </w:r>
          </w:p>
          <w:p w:rsidR="00844F29" w:rsidRPr="00844F29"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844F29">
              <w:rPr>
                <w:rFonts w:ascii="Times New Roman" w:eastAsia="Times New Roman" w:hAnsi="Times New Roman" w:cs="Times New Roman"/>
                <w:color w:val="000000"/>
                <w:sz w:val="28"/>
                <w:szCs w:val="28"/>
                <w:lang w:eastAsia="ru-RU"/>
              </w:rPr>
              <w:t>Предмет закупівлі</w:t>
            </w:r>
          </w:p>
          <w:p w:rsidR="00844F29" w:rsidRPr="00844F29" w:rsidRDefault="00844F29" w:rsidP="00411774">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8"/>
                <w:szCs w:val="28"/>
                <w:lang w:eastAsia="ru-RU"/>
              </w:rPr>
            </w:pPr>
            <w:r w:rsidRPr="00844F29">
              <w:rPr>
                <w:rFonts w:ascii="Times New Roman" w:eastAsia="Times New Roman" w:hAnsi="Times New Roman" w:cs="Times New Roman"/>
                <w:b/>
                <w:sz w:val="28"/>
                <w:szCs w:val="28"/>
                <w:lang w:eastAsia="ru-RU"/>
              </w:rPr>
              <w:t xml:space="preserve">  </w:t>
            </w:r>
          </w:p>
          <w:p w:rsidR="003F241B" w:rsidRPr="003F241B" w:rsidRDefault="003F241B" w:rsidP="00050667">
            <w:pPr>
              <w:spacing w:after="0" w:line="240" w:lineRule="auto"/>
              <w:rPr>
                <w:rFonts w:ascii="Times New Roman" w:eastAsia="Times New Roman" w:hAnsi="Times New Roman" w:cs="Times New Roman"/>
                <w:sz w:val="24"/>
                <w:szCs w:val="24"/>
                <w:lang w:eastAsia="ru-RU"/>
              </w:rPr>
            </w:pPr>
          </w:p>
          <w:p w:rsidR="008370EB" w:rsidRPr="008370EB" w:rsidRDefault="008370EB" w:rsidP="008370EB">
            <w:pPr>
              <w:tabs>
                <w:tab w:val="left" w:pos="2200"/>
              </w:tabs>
              <w:spacing w:after="0" w:line="240" w:lineRule="auto"/>
              <w:jc w:val="center"/>
              <w:rPr>
                <w:rFonts w:ascii="Times New Roman" w:eastAsia="Times New Roman" w:hAnsi="Times New Roman" w:cs="Times New Roman"/>
                <w:b/>
                <w:sz w:val="28"/>
                <w:szCs w:val="28"/>
                <w:lang w:eastAsia="ar-SA"/>
              </w:rPr>
            </w:pPr>
            <w:r w:rsidRPr="008370EB">
              <w:rPr>
                <w:rFonts w:ascii="Times New Roman" w:eastAsia="Times New Roman" w:hAnsi="Times New Roman" w:cs="Times New Roman"/>
                <w:b/>
                <w:sz w:val="28"/>
                <w:szCs w:val="28"/>
                <w:lang w:eastAsia="ar-SA"/>
              </w:rPr>
              <w:t xml:space="preserve">«ДК 021:2015: </w:t>
            </w:r>
            <w:r w:rsidRPr="008370EB">
              <w:rPr>
                <w:rFonts w:ascii="Times New Roman" w:eastAsia="Times New Roman" w:hAnsi="Times New Roman" w:cs="Times New Roman"/>
                <w:b/>
                <w:color w:val="000000"/>
                <w:sz w:val="28"/>
                <w:szCs w:val="28"/>
                <w:bdr w:val="none" w:sz="0" w:space="0" w:color="auto" w:frame="1"/>
                <w:shd w:val="clear" w:color="auto" w:fill="FDFEFD"/>
                <w:lang w:val="ru-RU" w:eastAsia="ru-RU"/>
              </w:rPr>
              <w:t>03210000-6</w:t>
            </w:r>
            <w:r w:rsidRPr="008370EB">
              <w:rPr>
                <w:rFonts w:ascii="Times New Roman" w:eastAsia="Times New Roman" w:hAnsi="Times New Roman" w:cs="Times New Roman"/>
                <w:b/>
                <w:color w:val="777777"/>
                <w:sz w:val="28"/>
                <w:szCs w:val="28"/>
                <w:shd w:val="clear" w:color="auto" w:fill="FDFEFD"/>
                <w:lang w:val="ru-RU" w:eastAsia="ru-RU"/>
              </w:rPr>
              <w:t> - </w:t>
            </w:r>
            <w:r w:rsidRPr="008370EB">
              <w:rPr>
                <w:rFonts w:ascii="Times New Roman" w:eastAsia="Times New Roman" w:hAnsi="Times New Roman" w:cs="Times New Roman"/>
                <w:b/>
                <w:color w:val="000000"/>
                <w:sz w:val="28"/>
                <w:szCs w:val="28"/>
                <w:bdr w:val="none" w:sz="0" w:space="0" w:color="auto" w:frame="1"/>
                <w:shd w:val="clear" w:color="auto" w:fill="FDFEFD"/>
                <w:lang w:val="ru-RU" w:eastAsia="ru-RU"/>
              </w:rPr>
              <w:t>Зернові культури та картопля</w:t>
            </w:r>
            <w:r w:rsidRPr="008370EB">
              <w:rPr>
                <w:rFonts w:ascii="Times New Roman" w:eastAsia="Times New Roman" w:hAnsi="Times New Roman" w:cs="Times New Roman"/>
                <w:b/>
                <w:sz w:val="28"/>
                <w:szCs w:val="28"/>
                <w:lang w:eastAsia="ar-SA"/>
              </w:rPr>
              <w:t xml:space="preserve"> </w:t>
            </w:r>
          </w:p>
          <w:p w:rsidR="008370EB" w:rsidRPr="00237CCC" w:rsidRDefault="008370EB" w:rsidP="00237CCC">
            <w:pPr>
              <w:tabs>
                <w:tab w:val="left" w:pos="2200"/>
              </w:tabs>
              <w:spacing w:after="0" w:line="240" w:lineRule="auto"/>
              <w:jc w:val="center"/>
              <w:rPr>
                <w:rFonts w:ascii="Times New Roman" w:eastAsia="Times New Roman" w:hAnsi="Times New Roman" w:cs="Times New Roman"/>
                <w:b/>
                <w:color w:val="000000"/>
                <w:sz w:val="28"/>
                <w:szCs w:val="28"/>
                <w:shd w:val="clear" w:color="auto" w:fill="FDFEFD"/>
                <w:lang w:eastAsia="ru-RU"/>
              </w:rPr>
            </w:pPr>
            <w:r w:rsidRPr="008370EB">
              <w:rPr>
                <w:rFonts w:ascii="Times New Roman" w:eastAsia="Times New Roman" w:hAnsi="Times New Roman" w:cs="Times New Roman"/>
                <w:b/>
                <w:sz w:val="28"/>
                <w:szCs w:val="28"/>
                <w:lang w:eastAsia="ar-SA"/>
              </w:rPr>
              <w:t>(</w:t>
            </w:r>
            <w:r w:rsidR="00712AA9">
              <w:rPr>
                <w:rFonts w:ascii="Times New Roman" w:eastAsia="Times New Roman" w:hAnsi="Times New Roman" w:cs="Times New Roman"/>
                <w:b/>
                <w:color w:val="000000"/>
                <w:sz w:val="28"/>
                <w:szCs w:val="28"/>
                <w:lang w:val="ru-RU" w:eastAsia="ru-RU"/>
              </w:rPr>
              <w:t>Картопля</w:t>
            </w:r>
            <w:r w:rsidRPr="008370EB">
              <w:rPr>
                <w:rFonts w:ascii="Times New Roman" w:eastAsia="Times New Roman" w:hAnsi="Times New Roman" w:cs="Times New Roman"/>
                <w:b/>
                <w:color w:val="000000"/>
                <w:sz w:val="28"/>
                <w:szCs w:val="28"/>
                <w:lang w:eastAsia="ru-RU"/>
              </w:rPr>
              <w:t>, с</w:t>
            </w:r>
            <w:r w:rsidRPr="008370EB">
              <w:rPr>
                <w:rFonts w:ascii="Times New Roman" w:eastAsia="Times New Roman" w:hAnsi="Times New Roman" w:cs="Times New Roman"/>
                <w:b/>
                <w:color w:val="000000"/>
                <w:sz w:val="28"/>
                <w:szCs w:val="28"/>
                <w:shd w:val="clear" w:color="auto" w:fill="FDFEFD"/>
                <w:lang w:val="ru-RU" w:eastAsia="ru-RU"/>
              </w:rPr>
              <w:t>оче</w:t>
            </w:r>
            <w:r w:rsidR="00237CCC">
              <w:rPr>
                <w:rFonts w:ascii="Times New Roman" w:eastAsia="Times New Roman" w:hAnsi="Times New Roman" w:cs="Times New Roman"/>
                <w:b/>
                <w:color w:val="000000"/>
                <w:sz w:val="28"/>
                <w:szCs w:val="28"/>
                <w:shd w:val="clear" w:color="auto" w:fill="FDFEFD"/>
                <w:lang w:val="ru-RU" w:eastAsia="ru-RU"/>
              </w:rPr>
              <w:t>виця рожева</w:t>
            </w:r>
            <w:r w:rsidRPr="008370EB">
              <w:rPr>
                <w:rFonts w:ascii="Times New Roman" w:eastAsia="Times New Roman" w:hAnsi="Times New Roman" w:cs="Times New Roman"/>
                <w:b/>
                <w:color w:val="000000"/>
                <w:sz w:val="28"/>
                <w:szCs w:val="28"/>
                <w:shd w:val="clear" w:color="auto" w:fill="FDFEFD"/>
                <w:lang w:eastAsia="ru-RU"/>
              </w:rPr>
              <w:t xml:space="preserve">, </w:t>
            </w:r>
            <w:r w:rsidR="00237CCC">
              <w:rPr>
                <w:rFonts w:ascii="Times New Roman" w:eastAsia="Times New Roman" w:hAnsi="Times New Roman" w:cs="Times New Roman"/>
                <w:b/>
                <w:color w:val="000000"/>
                <w:sz w:val="28"/>
                <w:szCs w:val="28"/>
                <w:shd w:val="clear" w:color="auto" w:fill="FDFEFD"/>
                <w:lang w:eastAsia="ru-RU"/>
              </w:rPr>
              <w:t>к</w:t>
            </w:r>
            <w:r w:rsidRPr="008370EB">
              <w:rPr>
                <w:rFonts w:ascii="Times New Roman" w:eastAsia="Times New Roman" w:hAnsi="Times New Roman" w:cs="Times New Roman"/>
                <w:b/>
                <w:color w:val="000000"/>
                <w:sz w:val="28"/>
                <w:szCs w:val="28"/>
                <w:shd w:val="clear" w:color="auto" w:fill="FDFEFD"/>
                <w:lang w:val="ru-RU" w:eastAsia="ru-RU"/>
              </w:rPr>
              <w:t>васоля</w:t>
            </w:r>
            <w:r w:rsidR="00237CCC">
              <w:rPr>
                <w:rFonts w:ascii="Times New Roman" w:eastAsia="Times New Roman" w:hAnsi="Times New Roman" w:cs="Times New Roman"/>
                <w:b/>
                <w:color w:val="000000"/>
                <w:sz w:val="28"/>
                <w:szCs w:val="28"/>
                <w:shd w:val="clear" w:color="auto" w:fill="FDFEFD"/>
                <w:lang w:val="ru-RU" w:eastAsia="ru-RU"/>
              </w:rPr>
              <w:t xml:space="preserve"> біла суха</w:t>
            </w:r>
            <w:r w:rsidRPr="008370EB">
              <w:rPr>
                <w:rFonts w:ascii="Times New Roman" w:eastAsia="Times New Roman" w:hAnsi="Times New Roman" w:cs="Times New Roman"/>
                <w:b/>
                <w:sz w:val="28"/>
                <w:szCs w:val="28"/>
                <w:lang w:eastAsia="ar-SA"/>
              </w:rPr>
              <w:t>)»</w:t>
            </w: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78"/>
        <w:gridCol w:w="231"/>
        <w:gridCol w:w="6236"/>
      </w:tblGrid>
      <w:tr w:rsidR="003F241B" w:rsidRPr="003F241B" w:rsidTr="00905C96">
        <w:tc>
          <w:tcPr>
            <w:tcW w:w="5000" w:type="pct"/>
            <w:gridSpan w:val="3"/>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E466F9">
        <w:trPr>
          <w:trHeight w:val="2962"/>
        </w:trPr>
        <w:tc>
          <w:tcPr>
            <w:tcW w:w="1749"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251" w:type="pct"/>
            <w:gridSpan w:val="2"/>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3"/>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gridSpan w:val="2"/>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gridSpan w:val="2"/>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 xml:space="preserve">34400, Україна, </w:t>
            </w:r>
            <w:proofErr w:type="gramStart"/>
            <w:r w:rsidRPr="003F241B">
              <w:rPr>
                <w:rFonts w:ascii="Times New Roman" w:eastAsia="Times New Roman" w:hAnsi="Times New Roman" w:cs="Times New Roman"/>
                <w:sz w:val="24"/>
                <w:szCs w:val="24"/>
                <w:lang w:val="ru-RU" w:eastAsia="ru-RU"/>
              </w:rPr>
              <w:t>Р</w:t>
            </w:r>
            <w:proofErr w:type="gramEnd"/>
            <w:r w:rsidRPr="003F241B">
              <w:rPr>
                <w:rFonts w:ascii="Times New Roman" w:eastAsia="Times New Roman" w:hAnsi="Times New Roman" w:cs="Times New Roman"/>
                <w:sz w:val="24"/>
                <w:szCs w:val="24"/>
                <w:lang w:val="ru-RU" w:eastAsia="ru-RU"/>
              </w:rPr>
              <w:t>івненська область, Вараський р-н., м. Вараш, м-н Вараш, 41</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976623" w:rsidRDefault="003F241B" w:rsidP="00976623">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976623">
              <w:rPr>
                <w:rFonts w:ascii="Times New Roman" w:eastAsia="Batang" w:hAnsi="Times New Roman" w:cs="Times New Roman"/>
                <w:sz w:val="24"/>
                <w:szCs w:val="24"/>
                <w:lang w:eastAsia="ru-RU"/>
              </w:rPr>
              <w:t>Фахівець з публічних закупі</w:t>
            </w:r>
            <w:r w:rsidR="00976623" w:rsidRPr="00976623">
              <w:rPr>
                <w:rFonts w:ascii="Times New Roman" w:eastAsia="Batang" w:hAnsi="Times New Roman" w:cs="Times New Roman"/>
                <w:sz w:val="24"/>
                <w:szCs w:val="24"/>
                <w:lang w:eastAsia="ru-RU"/>
              </w:rPr>
              <w:t>вель Мотоман Марія Петрівна</w:t>
            </w:r>
            <w:r w:rsidRPr="00976623">
              <w:rPr>
                <w:rFonts w:ascii="Times New Roman" w:eastAsia="Batang" w:hAnsi="Times New Roman" w:cs="Times New Roman"/>
                <w:sz w:val="24"/>
                <w:szCs w:val="24"/>
                <w:lang w:eastAsia="ru-RU"/>
              </w:rPr>
              <w:t>,</w:t>
            </w:r>
            <w:r w:rsidRPr="00976623">
              <w:rPr>
                <w:rFonts w:ascii="Times New Roman" w:eastAsia="Times New Roman" w:hAnsi="Times New Roman" w:cs="Times New Roman"/>
                <w:sz w:val="24"/>
                <w:szCs w:val="24"/>
                <w:lang w:eastAsia="ru-RU"/>
              </w:rPr>
              <w:t xml:space="preserve"> тел.(03636) 2-32-00, ел.адреса: </w:t>
            </w:r>
            <w:r w:rsidRPr="00976623">
              <w:rPr>
                <w:rFonts w:ascii="Times New Roman" w:eastAsia="Times New Roman" w:hAnsi="Times New Roman" w:cs="Times New Roman"/>
                <w:sz w:val="24"/>
                <w:szCs w:val="24"/>
                <w:lang w:val="ru-RU" w:eastAsia="ru-RU"/>
              </w:rPr>
              <w:t>gcgoosvita</w:t>
            </w:r>
            <w:r w:rsidRPr="00976623">
              <w:rPr>
                <w:rFonts w:ascii="Times New Roman" w:eastAsia="Times New Roman" w:hAnsi="Times New Roman" w:cs="Times New Roman"/>
                <w:sz w:val="24"/>
                <w:szCs w:val="24"/>
                <w:lang w:eastAsia="ru-RU"/>
              </w:rPr>
              <w:t>@</w:t>
            </w:r>
            <w:r w:rsidRPr="00976623">
              <w:rPr>
                <w:rFonts w:ascii="Times New Roman" w:eastAsia="Times New Roman" w:hAnsi="Times New Roman" w:cs="Times New Roman"/>
                <w:sz w:val="24"/>
                <w:szCs w:val="24"/>
                <w:lang w:val="ru-RU" w:eastAsia="ru-RU"/>
              </w:rPr>
              <w:t>gmail</w:t>
            </w:r>
            <w:r w:rsidRPr="00976623">
              <w:rPr>
                <w:rFonts w:ascii="Times New Roman" w:eastAsia="Times New Roman" w:hAnsi="Times New Roman" w:cs="Times New Roman"/>
                <w:sz w:val="24"/>
                <w:szCs w:val="24"/>
                <w:lang w:eastAsia="ru-RU"/>
              </w:rPr>
              <w:t>.</w:t>
            </w:r>
            <w:r w:rsidRPr="00976623">
              <w:rPr>
                <w:rFonts w:ascii="Times New Roman" w:eastAsia="Times New Roman" w:hAnsi="Times New Roman" w:cs="Times New Roman"/>
                <w:sz w:val="24"/>
                <w:szCs w:val="24"/>
                <w:lang w:val="ru-RU" w:eastAsia="ru-RU"/>
              </w:rPr>
              <w:t>com</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844F29" w:rsidRDefault="00BF374F" w:rsidP="00783C2E">
            <w:pPr>
              <w:tabs>
                <w:tab w:val="left" w:pos="2200"/>
              </w:tabs>
              <w:ind w:left="136" w:right="81" w:firstLine="13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i/>
                <w:color w:val="000000"/>
                <w:sz w:val="24"/>
                <w:szCs w:val="24"/>
                <w:lang w:eastAsia="ru-RU"/>
              </w:rPr>
              <w:t xml:space="preserve">Картопля, </w:t>
            </w:r>
            <w:r w:rsidR="008370EB" w:rsidRPr="008370EB">
              <w:rPr>
                <w:rFonts w:ascii="Times New Roman" w:eastAsia="Times New Roman" w:hAnsi="Times New Roman" w:cs="Times New Roman"/>
                <w:i/>
                <w:color w:val="000000"/>
                <w:sz w:val="24"/>
                <w:szCs w:val="24"/>
                <w:lang w:eastAsia="ru-RU"/>
              </w:rPr>
              <w:t>соче</w:t>
            </w:r>
            <w:r>
              <w:rPr>
                <w:rFonts w:ascii="Times New Roman" w:eastAsia="Times New Roman" w:hAnsi="Times New Roman" w:cs="Times New Roman"/>
                <w:i/>
                <w:color w:val="000000"/>
                <w:sz w:val="24"/>
                <w:szCs w:val="24"/>
                <w:lang w:eastAsia="ru-RU"/>
              </w:rPr>
              <w:t>виця рожева</w:t>
            </w:r>
            <w:r w:rsidR="008370EB" w:rsidRPr="008370EB">
              <w:rPr>
                <w:rFonts w:ascii="Times New Roman" w:eastAsia="Times New Roman" w:hAnsi="Times New Roman" w:cs="Times New Roman"/>
                <w:i/>
                <w:color w:val="000000"/>
                <w:sz w:val="24"/>
                <w:szCs w:val="24"/>
                <w:lang w:eastAsia="ru-RU"/>
              </w:rPr>
              <w:t xml:space="preserve">,  квасоля </w:t>
            </w:r>
            <w:r>
              <w:rPr>
                <w:rFonts w:ascii="Times New Roman" w:eastAsia="Times New Roman" w:hAnsi="Times New Roman" w:cs="Times New Roman"/>
                <w:i/>
                <w:color w:val="000000"/>
                <w:sz w:val="24"/>
                <w:szCs w:val="24"/>
                <w:lang w:eastAsia="ru-RU"/>
              </w:rPr>
              <w:t xml:space="preserve"> біла суха</w:t>
            </w:r>
            <w:r w:rsidR="003F241B" w:rsidRPr="00411774">
              <w:rPr>
                <w:rFonts w:ascii="Times New Roman" w:eastAsia="Times New Roman" w:hAnsi="Times New Roman" w:cs="Times New Roman"/>
                <w:i/>
                <w:color w:val="000000"/>
                <w:sz w:val="24"/>
                <w:szCs w:val="24"/>
                <w:lang w:eastAsia="ru-RU"/>
              </w:rPr>
              <w:t xml:space="preserve"> </w:t>
            </w:r>
            <w:r w:rsidR="00FF66BA">
              <w:rPr>
                <w:rFonts w:ascii="Times New Roman" w:eastAsia="Times New Roman" w:hAnsi="Times New Roman" w:cs="Times New Roman"/>
                <w:i/>
                <w:color w:val="000000"/>
                <w:sz w:val="24"/>
                <w:szCs w:val="24"/>
                <w:lang w:eastAsia="ru-RU"/>
              </w:rPr>
              <w:t xml:space="preserve">на </w:t>
            </w:r>
            <w:r w:rsidR="003F241B" w:rsidRPr="008370EB">
              <w:rPr>
                <w:rFonts w:ascii="Times New Roman" w:eastAsia="Times New Roman" w:hAnsi="Times New Roman" w:cs="Times New Roman"/>
                <w:color w:val="000000"/>
                <w:sz w:val="24"/>
                <w:szCs w:val="24"/>
                <w:lang w:eastAsia="ru-RU"/>
              </w:rPr>
              <w:t>основі національного класифікатора України ДК 021:2015</w:t>
            </w:r>
            <w:r w:rsidR="003F241B" w:rsidRPr="00411774">
              <w:rPr>
                <w:rFonts w:ascii="Times New Roman" w:eastAsia="Times New Roman" w:hAnsi="Times New Roman" w:cs="Times New Roman"/>
                <w:i/>
                <w:color w:val="000000"/>
                <w:sz w:val="24"/>
                <w:szCs w:val="24"/>
                <w:lang w:eastAsia="ru-RU"/>
              </w:rPr>
              <w:t xml:space="preserve"> </w:t>
            </w:r>
            <w:r w:rsidR="003F241B" w:rsidRPr="00411774">
              <w:rPr>
                <w:rFonts w:ascii="Times New Roman" w:eastAsia="Times New Roman" w:hAnsi="Times New Roman" w:cs="Times New Roman"/>
                <w:bCs/>
                <w:iCs/>
                <w:color w:val="000000"/>
                <w:spacing w:val="-10"/>
                <w:sz w:val="24"/>
                <w:szCs w:val="24"/>
                <w:lang w:eastAsia="ru-RU"/>
              </w:rPr>
              <w:t>«Єдиний закупівельний словник», код:</w:t>
            </w:r>
            <w:r w:rsidR="003F241B" w:rsidRPr="003F241B">
              <w:rPr>
                <w:rFonts w:ascii="Times New Roman" w:eastAsia="Times New Roman" w:hAnsi="Times New Roman" w:cs="Times New Roman"/>
                <w:i/>
                <w:color w:val="000000"/>
                <w:sz w:val="24"/>
                <w:szCs w:val="24"/>
                <w:lang w:eastAsia="ru-RU"/>
              </w:rPr>
              <w:t xml:space="preserve"> </w:t>
            </w:r>
            <w:r w:rsidR="008370EB">
              <w:rPr>
                <w:rFonts w:ascii="Times New Roman" w:eastAsia="Times New Roman" w:hAnsi="Times New Roman" w:cs="Times New Roman"/>
                <w:i/>
                <w:color w:val="000000"/>
                <w:sz w:val="24"/>
                <w:szCs w:val="24"/>
                <w:lang w:eastAsia="ru-RU"/>
              </w:rPr>
              <w:t xml:space="preserve">03210000-6 – </w:t>
            </w:r>
            <w:r w:rsidR="008370EB" w:rsidRPr="008370EB">
              <w:rPr>
                <w:rFonts w:ascii="Times New Roman" w:eastAsia="Times New Roman" w:hAnsi="Times New Roman" w:cs="Times New Roman"/>
                <w:i/>
                <w:color w:val="000000"/>
                <w:sz w:val="24"/>
                <w:szCs w:val="24"/>
                <w:lang w:eastAsia="ru-RU"/>
              </w:rPr>
              <w:t>Зернові культури та картопля</w:t>
            </w:r>
            <w:r w:rsidR="008370EB">
              <w:rPr>
                <w:rFonts w:ascii="Times New Roman" w:eastAsia="Times New Roman" w:hAnsi="Times New Roman" w:cs="Times New Roman"/>
                <w:i/>
                <w:color w:val="000000"/>
                <w:sz w:val="24"/>
                <w:szCs w:val="24"/>
                <w:lang w:eastAsia="ru-RU"/>
              </w:rPr>
              <w:t>.</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C7016D" w:rsidRPr="00D80D5D" w:rsidRDefault="00325012" w:rsidP="00C7016D">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sidRPr="00D80D5D">
              <w:rPr>
                <w:rFonts w:ascii="Times New Roman" w:eastAsia="Times New Roman" w:hAnsi="Times New Roman" w:cs="Times New Roman"/>
                <w:bCs/>
                <w:color w:val="000000" w:themeColor="text1"/>
                <w:sz w:val="24"/>
                <w:szCs w:val="20"/>
                <w:lang w:eastAsia="ru-RU"/>
              </w:rPr>
              <w:t xml:space="preserve">- </w:t>
            </w:r>
            <w:r w:rsidR="00C82C4B" w:rsidRPr="00D80D5D">
              <w:rPr>
                <w:rFonts w:ascii="Times New Roman" w:eastAsia="Times New Roman" w:hAnsi="Times New Roman" w:cs="Times New Roman"/>
                <w:bCs/>
                <w:color w:val="000000" w:themeColor="text1"/>
                <w:sz w:val="24"/>
                <w:szCs w:val="20"/>
                <w:lang w:eastAsia="ru-RU"/>
              </w:rPr>
              <w:t xml:space="preserve">картопля - </w:t>
            </w:r>
            <w:r w:rsidR="00AA58B9" w:rsidRPr="00D80D5D">
              <w:rPr>
                <w:rFonts w:ascii="Times New Roman" w:eastAsia="Times New Roman" w:hAnsi="Times New Roman" w:cs="Times New Roman"/>
                <w:bCs/>
                <w:color w:val="000000" w:themeColor="text1"/>
                <w:sz w:val="24"/>
                <w:szCs w:val="20"/>
                <w:lang w:eastAsia="ru-RU"/>
              </w:rPr>
              <w:t>20000</w:t>
            </w:r>
            <w:r w:rsidR="00C7016D" w:rsidRPr="00D80D5D">
              <w:rPr>
                <w:rFonts w:ascii="Times New Roman" w:eastAsia="Times New Roman" w:hAnsi="Times New Roman" w:cs="Times New Roman"/>
                <w:bCs/>
                <w:color w:val="000000" w:themeColor="text1"/>
                <w:sz w:val="24"/>
                <w:szCs w:val="20"/>
                <w:lang w:eastAsia="ru-RU"/>
              </w:rPr>
              <w:t xml:space="preserve"> кг.;</w:t>
            </w:r>
          </w:p>
          <w:p w:rsidR="00C7016D" w:rsidRPr="00D80D5D" w:rsidRDefault="00C7016D" w:rsidP="00C7016D">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sidRPr="00D80D5D">
              <w:rPr>
                <w:rFonts w:ascii="Times New Roman" w:eastAsia="Times New Roman" w:hAnsi="Times New Roman" w:cs="Times New Roman"/>
                <w:bCs/>
                <w:color w:val="000000" w:themeColor="text1"/>
                <w:sz w:val="24"/>
                <w:szCs w:val="20"/>
                <w:lang w:eastAsia="ru-RU"/>
              </w:rPr>
              <w:t>- соче</w:t>
            </w:r>
            <w:r w:rsidR="00AA58B9" w:rsidRPr="00D80D5D">
              <w:rPr>
                <w:rFonts w:ascii="Times New Roman" w:eastAsia="Times New Roman" w:hAnsi="Times New Roman" w:cs="Times New Roman"/>
                <w:bCs/>
                <w:color w:val="000000" w:themeColor="text1"/>
                <w:sz w:val="24"/>
                <w:szCs w:val="20"/>
                <w:lang w:eastAsia="ru-RU"/>
              </w:rPr>
              <w:t>виця рожева - 1225</w:t>
            </w:r>
            <w:r w:rsidRPr="00D80D5D">
              <w:rPr>
                <w:rFonts w:ascii="Times New Roman" w:eastAsia="Times New Roman" w:hAnsi="Times New Roman" w:cs="Times New Roman"/>
                <w:bCs/>
                <w:color w:val="000000" w:themeColor="text1"/>
                <w:sz w:val="24"/>
                <w:szCs w:val="20"/>
                <w:lang w:eastAsia="ru-RU"/>
              </w:rPr>
              <w:t xml:space="preserve"> кг.;</w:t>
            </w:r>
          </w:p>
          <w:p w:rsidR="00325012" w:rsidRPr="001D01C7" w:rsidRDefault="00C7016D" w:rsidP="00C7016D">
            <w:pPr>
              <w:spacing w:after="0" w:line="240" w:lineRule="auto"/>
              <w:ind w:left="141" w:right="142"/>
              <w:jc w:val="both"/>
              <w:rPr>
                <w:rFonts w:ascii="Times New Roman" w:eastAsia="Times New Roman" w:hAnsi="Times New Roman" w:cs="Times New Roman"/>
                <w:bCs/>
                <w:color w:val="000000" w:themeColor="text1"/>
                <w:sz w:val="24"/>
                <w:szCs w:val="20"/>
                <w:highlight w:val="yellow"/>
                <w:lang w:eastAsia="ru-RU"/>
              </w:rPr>
            </w:pPr>
            <w:r w:rsidRPr="00D80D5D">
              <w:rPr>
                <w:rFonts w:ascii="Times New Roman" w:eastAsia="Times New Roman" w:hAnsi="Times New Roman" w:cs="Times New Roman"/>
                <w:bCs/>
                <w:color w:val="000000" w:themeColor="text1"/>
                <w:sz w:val="24"/>
                <w:szCs w:val="20"/>
                <w:lang w:eastAsia="ru-RU"/>
              </w:rPr>
              <w:t>- квасоля</w:t>
            </w:r>
            <w:r w:rsidR="00AA58B9" w:rsidRPr="00D80D5D">
              <w:rPr>
                <w:rFonts w:ascii="Times New Roman" w:eastAsia="Times New Roman" w:hAnsi="Times New Roman" w:cs="Times New Roman"/>
                <w:bCs/>
                <w:color w:val="000000" w:themeColor="text1"/>
                <w:sz w:val="24"/>
                <w:szCs w:val="20"/>
                <w:lang w:eastAsia="ru-RU"/>
              </w:rPr>
              <w:t xml:space="preserve"> біла суха</w:t>
            </w:r>
            <w:r w:rsidR="00DF1BAD" w:rsidRPr="00D80D5D">
              <w:rPr>
                <w:rFonts w:ascii="Times New Roman" w:eastAsia="Times New Roman" w:hAnsi="Times New Roman" w:cs="Times New Roman"/>
                <w:bCs/>
                <w:color w:val="000000" w:themeColor="text1"/>
                <w:sz w:val="24"/>
                <w:szCs w:val="20"/>
                <w:lang w:eastAsia="ru-RU"/>
              </w:rPr>
              <w:t xml:space="preserve"> - 700</w:t>
            </w:r>
            <w:r w:rsidRPr="00D80D5D">
              <w:rPr>
                <w:rFonts w:ascii="Times New Roman" w:eastAsia="Times New Roman" w:hAnsi="Times New Roman" w:cs="Times New Roman"/>
                <w:bCs/>
                <w:color w:val="000000" w:themeColor="text1"/>
                <w:sz w:val="24"/>
                <w:szCs w:val="20"/>
                <w:lang w:eastAsia="ru-RU"/>
              </w:rPr>
              <w:t xml:space="preserve"> кг.</w:t>
            </w:r>
          </w:p>
        </w:tc>
      </w:tr>
      <w:tr w:rsidR="003F241B" w:rsidRPr="003F241B" w:rsidTr="00905C96">
        <w:trPr>
          <w:trHeight w:val="601"/>
        </w:trPr>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rsidR="003F241B" w:rsidRPr="00B43FAC"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w:t>
            </w:r>
            <w:r w:rsidR="003F626F" w:rsidRPr="00B43FAC">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626F" w:rsidRPr="003F241B" w:rsidRDefault="003F241B" w:rsidP="003F626F">
            <w:pPr>
              <w:widowControl w:val="0"/>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color w:val="000000"/>
                <w:sz w:val="24"/>
                <w:szCs w:val="24"/>
                <w:lang w:eastAsia="ru-RU"/>
              </w:rPr>
              <w:t xml:space="preserve">  </w:t>
            </w:r>
            <w:r w:rsidR="003F626F">
              <w:rPr>
                <w:rFonts w:ascii="Times New Roman" w:eastAsia="Times New Roman" w:hAnsi="Times New Roman" w:cs="Times New Roman"/>
                <w:color w:val="000000"/>
                <w:sz w:val="24"/>
                <w:szCs w:val="24"/>
              </w:rPr>
              <w:t>Валютою тендерної пропозиції є гривня.</w:t>
            </w:r>
            <w:r w:rsidR="003F626F">
              <w:rPr>
                <w:rFonts w:ascii="Times New Roman" w:eastAsia="Times New Roman" w:hAnsi="Times New Roman" w:cs="Times New Roman"/>
              </w:rPr>
              <w:t xml:space="preserve"> </w:t>
            </w:r>
            <w:r w:rsidR="003F626F">
              <w:rPr>
                <w:rFonts w:ascii="Times New Roman" w:eastAsia="Times New Roman" w:hAnsi="Times New Roman" w:cs="Times New Roman"/>
                <w:b/>
                <w:i/>
                <w:color w:val="000000"/>
                <w:sz w:val="24"/>
                <w:szCs w:val="24"/>
              </w:rPr>
              <w:t>У разі якщо учасником процедури закупівлі є нерезидент</w:t>
            </w:r>
            <w:r w:rsidR="003F626F">
              <w:rPr>
                <w:rFonts w:ascii="Times New Roman" w:eastAsia="Times New Roman" w:hAnsi="Times New Roman" w:cs="Times New Roman"/>
                <w:b/>
                <w:color w:val="000000"/>
                <w:sz w:val="24"/>
                <w:szCs w:val="24"/>
              </w:rPr>
              <w:t xml:space="preserve">,  </w:t>
            </w:r>
            <w:r w:rsidR="003F626F">
              <w:rPr>
                <w:rFonts w:ascii="Times New Roman" w:eastAsia="Times New Roman" w:hAnsi="Times New Roman" w:cs="Times New Roman"/>
                <w:color w:val="000000"/>
                <w:sz w:val="24"/>
                <w:szCs w:val="24"/>
              </w:rPr>
              <w:t xml:space="preserve">такий </w:t>
            </w:r>
            <w:r w:rsidR="003F626F">
              <w:rPr>
                <w:rFonts w:ascii="Times New Roman" w:eastAsia="Times New Roman" w:hAnsi="Times New Roman" w:cs="Times New Roman"/>
                <w:sz w:val="24"/>
                <w:szCs w:val="24"/>
              </w:rPr>
              <w:t>у</w:t>
            </w:r>
            <w:r w:rsidR="003F626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3F241B" w:rsidTr="00905C96">
        <w:trPr>
          <w:trHeight w:val="3399"/>
        </w:trPr>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3"/>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7D5D9B"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F241B" w:rsidRPr="003F241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F241B"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статті 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 xml:space="preserve">у вигляді нової редакції тендерної документації додатково до початкової </w:t>
            </w:r>
            <w:r w:rsidRPr="003F241B">
              <w:rPr>
                <w:rFonts w:ascii="Times New Roman" w:eastAsia="Times New Roman" w:hAnsi="Times New Roman" w:cs="Times New Roman"/>
                <w:i/>
                <w:color w:val="000000"/>
                <w:sz w:val="24"/>
                <w:szCs w:val="24"/>
                <w:lang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3"/>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9F1A3D"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009F1A3D">
              <w:rPr>
                <w:rFonts w:ascii="Times New Roman" w:eastAsia="Times New Roman" w:hAnsi="Times New Roman" w:cs="Times New Roman"/>
                <w:sz w:val="24"/>
                <w:szCs w:val="24"/>
                <w:lang w:eastAsia="ru-RU"/>
              </w:rPr>
              <w:t xml:space="preserve"> цих </w:t>
            </w:r>
            <w:r w:rsidRPr="003F241B">
              <w:rPr>
                <w:rFonts w:ascii="Times New Roman" w:eastAsia="Times New Roman" w:hAnsi="Times New Roman" w:cs="Times New Roman"/>
                <w:sz w:val="24"/>
                <w:szCs w:val="24"/>
                <w:lang w:eastAsia="ru-RU"/>
              </w:rPr>
              <w:t xml:space="preserve">Особливостей </w:t>
            </w:r>
            <w:r w:rsidR="009F1A3D" w:rsidRPr="009F1A3D">
              <w:rPr>
                <w:rFonts w:ascii="Times New Roman" w:eastAsia="Times New Roman" w:hAnsi="Times New Roman" w:cs="Times New Roman"/>
                <w:sz w:val="24"/>
                <w:szCs w:val="24"/>
                <w:lang w:eastAsia="ru-RU"/>
              </w:rPr>
              <w:t>і в тендерній документації, та шляхом завантаження необхідних документів, що вимагаються замовником у тендерній документації а саме:</w:t>
            </w:r>
          </w:p>
          <w:p w:rsidR="003F241B" w:rsidRDefault="00465742" w:rsidP="003F241B">
            <w:pPr>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 інформацію</w:t>
            </w:r>
            <w:r w:rsidR="003F241B" w:rsidRPr="003F241B">
              <w:rPr>
                <w:rFonts w:ascii="Times New Roman" w:eastAsia="Times New Roman" w:hAnsi="Times New Roman" w:cs="Times New Roman"/>
                <w:sz w:val="24"/>
                <w:szCs w:val="24"/>
                <w:lang w:eastAsia="ru-RU"/>
              </w:rPr>
              <w:t xml:space="preserve">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003F241B"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003F241B" w:rsidRPr="00282B59">
              <w:rPr>
                <w:rFonts w:ascii="Times New Roman" w:eastAsia="Times New Roman" w:hAnsi="Times New Roman" w:cs="Times New Roman"/>
                <w:color w:val="000000"/>
                <w:sz w:val="24"/>
                <w:szCs w:val="24"/>
                <w:lang w:eastAsia="ru-RU"/>
              </w:rPr>
              <w:t xml:space="preserve">(згідно з </w:t>
            </w:r>
            <w:r w:rsidR="003F241B" w:rsidRPr="00282B59">
              <w:rPr>
                <w:rFonts w:ascii="Times New Roman" w:eastAsia="Times New Roman" w:hAnsi="Times New Roman" w:cs="Times New Roman"/>
                <w:bCs/>
                <w:i/>
                <w:iCs/>
                <w:color w:val="000000"/>
                <w:sz w:val="24"/>
                <w:szCs w:val="24"/>
                <w:lang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1</w:t>
            </w:r>
            <w:r w:rsidR="003F241B" w:rsidRPr="00282B59">
              <w:rPr>
                <w:rFonts w:ascii="Times New Roman" w:eastAsia="Times New Roman" w:hAnsi="Times New Roman" w:cs="Times New Roman"/>
                <w:color w:val="000000"/>
                <w:sz w:val="24"/>
                <w:szCs w:val="24"/>
                <w:lang w:eastAsia="ru-RU"/>
              </w:rPr>
              <w:t xml:space="preserve"> до цієї тендерної документації);</w:t>
            </w:r>
          </w:p>
          <w:p w:rsidR="004C29CB" w:rsidRPr="00282B59" w:rsidRDefault="004C29C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4C29CB">
              <w:rPr>
                <w:rFonts w:ascii="Times New Roman" w:eastAsia="Times New Roman" w:hAnsi="Times New Roman" w:cs="Times New Roman"/>
                <w:color w:val="000000"/>
                <w:sz w:val="24"/>
                <w:szCs w:val="24"/>
                <w:lang w:eastAsia="ru-RU"/>
              </w:rPr>
              <w:t xml:space="preserve">  - довідка з відомостями про учасника у закупівлі (згідно з Додатком 2 до цієї тендерної документації);</w:t>
            </w:r>
          </w:p>
          <w:p w:rsidR="003F241B" w:rsidRDefault="003F241B" w:rsidP="003F241B">
            <w:pPr>
              <w:shd w:val="clear" w:color="auto" w:fill="FFFFFF"/>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 </w:t>
            </w:r>
            <w:r w:rsidR="00282B59" w:rsidRPr="00282B59">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4C29CB">
              <w:rPr>
                <w:rFonts w:ascii="Times New Roman" w:eastAsia="Times New Roman" w:hAnsi="Times New Roman" w:cs="Times New Roman"/>
                <w:i/>
                <w:color w:val="000000"/>
                <w:sz w:val="24"/>
                <w:szCs w:val="24"/>
                <w:lang w:eastAsia="ru-RU"/>
              </w:rPr>
              <w:t>Додатку 1</w:t>
            </w:r>
            <w:r w:rsidR="00282B59" w:rsidRPr="00282B59">
              <w:rPr>
                <w:rFonts w:ascii="Times New Roman" w:eastAsia="Times New Roman" w:hAnsi="Times New Roman" w:cs="Times New Roman"/>
                <w:color w:val="000000"/>
                <w:sz w:val="24"/>
                <w:szCs w:val="24"/>
                <w:lang w:eastAsia="ru-RU"/>
              </w:rPr>
              <w:t xml:space="preserve"> до тендерної документації;</w:t>
            </w:r>
          </w:p>
          <w:p w:rsidR="005921FF" w:rsidRPr="00282B59" w:rsidRDefault="005921FF" w:rsidP="003F241B">
            <w:pPr>
              <w:shd w:val="clear" w:color="auto" w:fill="FFFFFF"/>
              <w:spacing w:after="0" w:line="240" w:lineRule="auto"/>
              <w:ind w:left="141" w:right="142"/>
              <w:jc w:val="both"/>
              <w:rPr>
                <w:rFonts w:ascii="Times New Roman" w:eastAsia="Times New Roman" w:hAnsi="Times New Roman" w:cs="Times New Roman"/>
                <w:sz w:val="24"/>
                <w:szCs w:val="24"/>
                <w:lang w:eastAsia="ru-RU"/>
              </w:rPr>
            </w:pPr>
            <w:r w:rsidRPr="005921FF">
              <w:rPr>
                <w:rFonts w:ascii="Times New Roman" w:eastAsia="Times New Roman" w:hAnsi="Times New Roman" w:cs="Times New Roman"/>
                <w:sz w:val="24"/>
                <w:szCs w:val="24"/>
                <w:lang w:eastAsia="ru-RU"/>
              </w:rPr>
              <w:t>- інших документів, передбачених в Додатку 1 до цієї тендерної документації;</w:t>
            </w:r>
          </w:p>
          <w:p w:rsidR="00465742" w:rsidRDefault="003F241B" w:rsidP="00282B59">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val="ru-RU" w:eastAsia="ru-RU"/>
              </w:rPr>
              <w:t>-</w:t>
            </w:r>
            <w:r w:rsidR="00465742">
              <w:t xml:space="preserve"> </w:t>
            </w:r>
            <w:r w:rsidR="00465742" w:rsidRPr="00465742">
              <w:rPr>
                <w:rFonts w:ascii="Times New Roman" w:eastAsia="Times New Roman" w:hAnsi="Times New Roman" w:cs="Times New Roman"/>
                <w:color w:val="000000"/>
                <w:sz w:val="24"/>
                <w:szCs w:val="24"/>
                <w:lang w:val="ru-RU" w:eastAsia="ru-RU"/>
              </w:rPr>
              <w:t>інформацію про необхідні технічні, якісні та кількісні характеристики предмета закупівлі відповідно до вимог встановлених у Додатку 3</w:t>
            </w:r>
            <w:r w:rsidR="00465742">
              <w:rPr>
                <w:rFonts w:ascii="Times New Roman" w:eastAsia="Times New Roman" w:hAnsi="Times New Roman" w:cs="Times New Roman"/>
                <w:color w:val="000000"/>
                <w:sz w:val="24"/>
                <w:szCs w:val="24"/>
                <w:lang w:val="ru-RU" w:eastAsia="ru-RU"/>
              </w:rPr>
              <w:t xml:space="preserve"> до</w:t>
            </w:r>
            <w:r w:rsidR="00465742" w:rsidRPr="00465742">
              <w:rPr>
                <w:rFonts w:ascii="Times New Roman" w:eastAsia="Times New Roman" w:hAnsi="Times New Roman" w:cs="Times New Roman"/>
                <w:color w:val="000000"/>
                <w:sz w:val="24"/>
                <w:szCs w:val="24"/>
                <w:lang w:val="ru-RU" w:eastAsia="ru-RU"/>
              </w:rPr>
              <w:t xml:space="preserve"> тендерної документ</w:t>
            </w:r>
            <w:r w:rsidR="00465742">
              <w:rPr>
                <w:rFonts w:ascii="Times New Roman" w:eastAsia="Times New Roman" w:hAnsi="Times New Roman" w:cs="Times New Roman"/>
                <w:color w:val="000000"/>
                <w:sz w:val="24"/>
                <w:szCs w:val="24"/>
                <w:lang w:val="ru-RU" w:eastAsia="ru-RU"/>
              </w:rPr>
              <w:t>ації</w:t>
            </w:r>
            <w:r w:rsidR="00465742" w:rsidRPr="00465742">
              <w:rPr>
                <w:rFonts w:ascii="Times New Roman" w:eastAsia="Times New Roman" w:hAnsi="Times New Roman" w:cs="Times New Roman"/>
                <w:color w:val="000000"/>
                <w:sz w:val="24"/>
                <w:szCs w:val="24"/>
                <w:lang w:val="ru-RU" w:eastAsia="ru-RU"/>
              </w:rPr>
              <w:t>;</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9F1A3D" w:rsidP="003F241B">
            <w:pPr>
              <w:spacing w:after="0" w:line="0" w:lineRule="atLeast"/>
              <w:ind w:left="141" w:righ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тендерною пропозицію наведену</w:t>
            </w:r>
            <w:r w:rsidR="003F241B" w:rsidRPr="003F241B">
              <w:rPr>
                <w:rFonts w:ascii="Times New Roman" w:eastAsia="Times New Roman" w:hAnsi="Times New Roman" w:cs="Times New Roman"/>
                <w:color w:val="000000"/>
                <w:sz w:val="24"/>
                <w:szCs w:val="24"/>
                <w:lang w:val="ru-RU" w:eastAsia="ru-RU"/>
              </w:rPr>
              <w:t xml:space="preserve"> (згідно з </w:t>
            </w:r>
            <w:r w:rsidR="003F241B" w:rsidRPr="003F241B">
              <w:rPr>
                <w:rFonts w:ascii="Times New Roman" w:eastAsia="Times New Roman" w:hAnsi="Times New Roman" w:cs="Times New Roman"/>
                <w:bCs/>
                <w:i/>
                <w:iCs/>
                <w:color w:val="000000"/>
                <w:sz w:val="24"/>
                <w:szCs w:val="24"/>
                <w:lang w:val="ru-RU"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5</w:t>
            </w:r>
            <w:r w:rsidR="003F241B"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9F1A3D" w:rsidRPr="009F1A3D" w:rsidRDefault="003F241B" w:rsidP="005921FF">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w:t>
            </w:r>
            <w:r w:rsidR="00282B59">
              <w:rPr>
                <w:rFonts w:ascii="Times New Roman" w:eastAsia="Times New Roman" w:hAnsi="Times New Roman" w:cs="Times New Roman"/>
                <w:sz w:val="24"/>
                <w:szCs w:val="24"/>
                <w:lang w:val="ru-RU" w:eastAsia="ru-RU"/>
              </w:rPr>
              <w:t>ипискою з протоколу засновників або копією наказу</w:t>
            </w:r>
            <w:r w:rsidRPr="003F241B">
              <w:rPr>
                <w:rFonts w:ascii="Times New Roman" w:eastAsia="Times New Roman" w:hAnsi="Times New Roman" w:cs="Times New Roman"/>
                <w:sz w:val="24"/>
                <w:szCs w:val="24"/>
                <w:lang w:val="ru-RU" w:eastAsia="ru-RU"/>
              </w:rPr>
              <w:t xml:space="preserve"> про призначення,</w:t>
            </w:r>
            <w:r w:rsidR="00282B59">
              <w:rPr>
                <w:rFonts w:ascii="Times New Roman" w:eastAsia="Times New Roman" w:hAnsi="Times New Roman" w:cs="Times New Roman"/>
                <w:sz w:val="24"/>
                <w:szCs w:val="24"/>
                <w:lang w:val="ru-RU" w:eastAsia="ru-RU"/>
              </w:rPr>
              <w:t xml:space="preserve"> або</w:t>
            </w:r>
            <w:r w:rsidRPr="003F241B">
              <w:rPr>
                <w:rFonts w:ascii="Times New Roman" w:eastAsia="Times New Roman" w:hAnsi="Times New Roman" w:cs="Times New Roman"/>
                <w:sz w:val="24"/>
                <w:szCs w:val="24"/>
                <w:lang w:val="ru-RU" w:eastAsia="ru-RU"/>
              </w:rPr>
              <w:t xml:space="preserve"> довіреністю, </w:t>
            </w:r>
            <w:r w:rsidR="00282B59">
              <w:rPr>
                <w:rFonts w:ascii="Times New Roman" w:eastAsia="Times New Roman" w:hAnsi="Times New Roman" w:cs="Times New Roman"/>
                <w:sz w:val="24"/>
                <w:szCs w:val="24"/>
                <w:lang w:val="ru-RU" w:eastAsia="ru-RU"/>
              </w:rPr>
              <w:t xml:space="preserve"> або </w:t>
            </w:r>
            <w:r w:rsidRPr="003F241B">
              <w:rPr>
                <w:rFonts w:ascii="Times New Roman" w:eastAsia="Times New Roman" w:hAnsi="Times New Roman" w:cs="Times New Roman"/>
                <w:sz w:val="24"/>
                <w:szCs w:val="24"/>
                <w:lang w:val="ru-RU" w:eastAsia="ru-RU"/>
              </w:rPr>
              <w:t>дорученням або іншим документом, що підтверджує повноваження посадової особи учасника на підписання документів тендерної пропозиції</w:t>
            </w:r>
            <w:r w:rsidR="00282B59">
              <w:rPr>
                <w:rFonts w:ascii="Times New Roman" w:eastAsia="Times New Roman" w:hAnsi="Times New Roman" w:cs="Times New Roman"/>
                <w:sz w:val="24"/>
                <w:szCs w:val="24"/>
                <w:lang w:val="ru-RU" w:eastAsia="ru-RU"/>
              </w:rPr>
              <w:t xml:space="preserve"> та/ або договору</w:t>
            </w:r>
            <w:r w:rsidRPr="003F241B">
              <w:rPr>
                <w:rFonts w:ascii="Times New Roman" w:eastAsia="Times New Roman" w:hAnsi="Times New Roman" w:cs="Times New Roman"/>
                <w:sz w:val="24"/>
                <w:szCs w:val="24"/>
                <w:lang w:val="ru-RU" w:eastAsia="ru-RU"/>
              </w:rPr>
              <w:t>).</w:t>
            </w:r>
            <w:r w:rsidRPr="003F241B">
              <w:rPr>
                <w:rFonts w:ascii="Times New Roman" w:eastAsia="Times New Roman" w:hAnsi="Times New Roman" w:cs="Times New Roman"/>
                <w:sz w:val="24"/>
                <w:szCs w:val="24"/>
                <w:lang w:val="ru-RU" w:eastAsia="ru-RU"/>
              </w:rPr>
              <w:br/>
            </w:r>
            <w:r w:rsidR="005921FF">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Під час використання електронної системи закупівель з метою подання тендерних пропозицій та їх оцінки </w:t>
            </w:r>
            <w:r w:rsidR="009F1A3D" w:rsidRPr="009F1A3D">
              <w:rPr>
                <w:rFonts w:ascii="Times New Roman" w:eastAsia="Times New Roman" w:hAnsi="Times New Roman" w:cs="Times New Roman"/>
                <w:color w:val="000000"/>
                <w:sz w:val="24"/>
                <w:szCs w:val="24"/>
                <w:lang w:val="ru-RU" w:eastAsia="ru-RU"/>
              </w:rPr>
              <w:lastRenderedPageBreak/>
              <w:t>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Переможцем у строк, що не перевищує чотири дні з дати оприлюднення на веб-порталі Уповноваженого органу повідомлення про намір укласти договір через електронну систему закупівель подається інформація та документи встановлені в </w:t>
            </w:r>
            <w:r w:rsidR="005921FF">
              <w:rPr>
                <w:rFonts w:ascii="Times New Roman" w:eastAsia="Times New Roman" w:hAnsi="Times New Roman" w:cs="Times New Roman"/>
                <w:i/>
                <w:color w:val="000000"/>
                <w:sz w:val="24"/>
                <w:szCs w:val="24"/>
                <w:lang w:val="ru-RU" w:eastAsia="ru-RU"/>
              </w:rPr>
              <w:t>Додатку 1</w:t>
            </w:r>
            <w:r w:rsidR="009F1A3D" w:rsidRPr="009F1A3D">
              <w:rPr>
                <w:rFonts w:ascii="Times New Roman" w:eastAsia="Times New Roman" w:hAnsi="Times New Roman" w:cs="Times New Roman"/>
                <w:color w:val="000000"/>
                <w:sz w:val="24"/>
                <w:szCs w:val="24"/>
                <w:lang w:val="ru-RU" w:eastAsia="ru-RU"/>
              </w:rPr>
              <w:t>.</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w:t>
            </w:r>
            <w:r w:rsidR="009F1A3D" w:rsidRPr="009F1A3D">
              <w:rPr>
                <w:rFonts w:ascii="Times New Roman" w:eastAsia="Times New Roman" w:hAnsi="Times New Roman" w:cs="Times New Roman"/>
                <w:color w:val="000000"/>
                <w:sz w:val="24"/>
                <w:szCs w:val="24"/>
                <w:lang w:val="ru-RU" w:eastAsia="ru-RU"/>
              </w:rPr>
              <w:lastRenderedPageBreak/>
              <w:t>нотаріально завірених документів, виданих учаснику іншими організаціями (підприємствами, установами).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Вимога щодо засвідчення того чи іншого документу тендерної пропозиції власноручним </w:t>
            </w:r>
            <w:proofErr w:type="gramStart"/>
            <w:r w:rsidR="009F1A3D" w:rsidRPr="009F1A3D">
              <w:rPr>
                <w:rFonts w:ascii="Times New Roman" w:eastAsia="Times New Roman" w:hAnsi="Times New Roman" w:cs="Times New Roman"/>
                <w:color w:val="000000"/>
                <w:sz w:val="24"/>
                <w:szCs w:val="24"/>
                <w:lang w:val="ru-RU" w:eastAsia="ru-RU"/>
              </w:rPr>
              <w:t>п</w:t>
            </w:r>
            <w:proofErr w:type="gramEnd"/>
            <w:r w:rsidR="009F1A3D" w:rsidRPr="009F1A3D">
              <w:rPr>
                <w:rFonts w:ascii="Times New Roman" w:eastAsia="Times New Roman" w:hAnsi="Times New Roman" w:cs="Times New Roman"/>
                <w:color w:val="000000"/>
                <w:sz w:val="24"/>
                <w:szCs w:val="24"/>
                <w:lang w:val="ru-RU" w:eastAsia="ru-RU"/>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9F1A3D" w:rsidRPr="009F1A3D">
              <w:rPr>
                <w:rFonts w:ascii="Times New Roman" w:eastAsia="Times New Roman" w:hAnsi="Times New Roman" w:cs="Times New Roman"/>
                <w:color w:val="000000"/>
                <w:sz w:val="24"/>
                <w:szCs w:val="24"/>
                <w:lang w:val="ru-RU" w:eastAsia="ru-RU"/>
              </w:rPr>
              <w:t>ал чи</w:t>
            </w:r>
            <w:proofErr w:type="gramEnd"/>
            <w:r w:rsidR="009F1A3D" w:rsidRPr="009F1A3D">
              <w:rPr>
                <w:rFonts w:ascii="Times New Roman" w:eastAsia="Times New Roman" w:hAnsi="Times New Roman" w:cs="Times New Roman"/>
                <w:color w:val="000000"/>
                <w:sz w:val="24"/>
                <w:szCs w:val="24"/>
                <w:lang w:val="ru-RU" w:eastAsia="ru-RU"/>
              </w:rPr>
              <w:t xml:space="preserve"> інформацію).</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 достовірність інформації та документів, наданих в пропозиції відповідальність несе Учасник.</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Документи, завантажені Учасником у складі тендерної пропозиції повинні бути чіткими, текст має бути розбірливим та придатним до читання.</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Кожен учасник має право подати тільки одну тендерну пропозицію. У разі подання Учасником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F1A3D" w:rsidRPr="003F241B"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gridSpan w:val="2"/>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w:t>
            </w:r>
            <w:r w:rsidRPr="003F241B">
              <w:rPr>
                <w:rFonts w:ascii="Times New Roman" w:eastAsia="Times New Roman" w:hAnsi="Times New Roman" w:cs="Times New Roman"/>
                <w:sz w:val="24"/>
                <w:szCs w:val="24"/>
                <w:lang w:eastAsia="ru-RU"/>
              </w:rPr>
              <w:lastRenderedPageBreak/>
              <w:t>тендерної пропозиції, повідомивши про це замовникові через електронну систему закупівель.</w:t>
            </w:r>
          </w:p>
        </w:tc>
      </w:tr>
      <w:tr w:rsidR="006E78CD" w:rsidRPr="003F241B" w:rsidTr="00502EA9">
        <w:tc>
          <w:tcPr>
            <w:tcW w:w="1865" w:type="pct"/>
            <w:gridSpan w:val="2"/>
            <w:shd w:val="clear" w:color="auto" w:fill="FFFFFF"/>
          </w:tcPr>
          <w:p w:rsidR="006E78CD" w:rsidRPr="003F241B"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lastRenderedPageBreak/>
              <w:t>Кваліфікаційні критерії до учасників та вимоги, установлені пунктом 47 Особливостей</w:t>
            </w:r>
          </w:p>
        </w:tc>
        <w:tc>
          <w:tcPr>
            <w:tcW w:w="3135" w:type="pct"/>
            <w:shd w:val="clear" w:color="auto" w:fill="FFFFFF"/>
            <w:vAlign w:val="center"/>
          </w:tcPr>
          <w:p w:rsidR="009764C3"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1C89">
              <w:rPr>
                <w:rFonts w:ascii="Times New Roman" w:eastAsia="Times New Roman" w:hAnsi="Times New Roman" w:cs="Times New Roman"/>
                <w:sz w:val="24"/>
                <w:szCs w:val="24"/>
              </w:rPr>
              <w:t>Замовник в</w:t>
            </w:r>
            <w:r w:rsidR="006E78CD">
              <w:rPr>
                <w:rFonts w:ascii="Times New Roman" w:eastAsia="Times New Roman" w:hAnsi="Times New Roman" w:cs="Times New Roman"/>
                <w:sz w:val="24"/>
                <w:szCs w:val="24"/>
              </w:rPr>
              <w:t>становлює один або декілька кваліфікаційних критеріїв відповідно</w:t>
            </w:r>
            <w:r w:rsidR="008B475E">
              <w:rPr>
                <w:rFonts w:ascii="Times New Roman" w:eastAsia="Times New Roman" w:hAnsi="Times New Roman" w:cs="Times New Roman"/>
                <w:sz w:val="24"/>
                <w:szCs w:val="24"/>
              </w:rPr>
              <w:t xml:space="preserve"> до статті 16 Закону. Визначені </w:t>
            </w:r>
            <w:r w:rsidR="006E78CD">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i/>
                <w:sz w:val="24"/>
                <w:szCs w:val="24"/>
              </w:rPr>
              <w:t xml:space="preserve"> </w:t>
            </w:r>
            <w:r w:rsidR="006E78CD">
              <w:rPr>
                <w:rFonts w:ascii="Times New Roman" w:eastAsia="Times New Roman" w:hAnsi="Times New Roman" w:cs="Times New Roman"/>
                <w:sz w:val="24"/>
                <w:szCs w:val="24"/>
              </w:rPr>
              <w:t xml:space="preserve">до цієї тендерної документації. </w:t>
            </w:r>
          </w:p>
          <w:p w:rsidR="006E78CD"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E78CD">
              <w:rPr>
                <w:rFonts w:ascii="Times New Roman" w:eastAsia="Times New Roman" w:hAnsi="Times New Roman" w:cs="Times New Roman"/>
                <w:b/>
                <w:sz w:val="24"/>
                <w:szCs w:val="24"/>
              </w:rPr>
              <w:t xml:space="preserve">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sz w:val="24"/>
                <w:szCs w:val="24"/>
              </w:rPr>
              <w:t xml:space="preserve"> до цієї тендерної документації. </w:t>
            </w:r>
          </w:p>
          <w:p w:rsidR="006E78CD" w:rsidRDefault="006E78CD" w:rsidP="009764C3">
            <w:pPr>
              <w:widowControl w:val="0"/>
              <w:spacing w:after="0"/>
              <w:ind w:left="136"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78CD"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78CD" w:rsidRDefault="006E78CD" w:rsidP="009764C3">
            <w:pPr>
              <w:spacing w:after="0"/>
              <w:ind w:left="136"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6CEA">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626CEA">
              <w:rPr>
                <w:rFonts w:ascii="Times New Roman" w:eastAsia="Times New Roman" w:hAnsi="Times New Roman" w:cs="Times New Roman"/>
                <w:sz w:val="24"/>
                <w:szCs w:val="24"/>
                <w:highlight w:val="white"/>
              </w:rPr>
              <w:t xml:space="preserve"> </w:t>
            </w:r>
            <w:r w:rsidRPr="00626CE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78CD" w:rsidRDefault="006E78CD"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EA9"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006E78CD">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78CD"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90257B" w:rsidRPr="0090257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57B">
              <w:rPr>
                <w:rFonts w:ascii="Times New Roman" w:eastAsia="Times New Roman" w:hAnsi="Times New Roman" w:cs="Times New Roman"/>
                <w:color w:val="000000"/>
                <w:sz w:val="24"/>
                <w:szCs w:val="24"/>
                <w:lang w:eastAsia="ru-RU"/>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0257B" w:rsidRPr="003F241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90257B">
              <w:rPr>
                <w:rFonts w:ascii="Times New Roman" w:eastAsia="Times New Roman" w:hAnsi="Times New Roman" w:cs="Times New Roman"/>
                <w:color w:val="000000"/>
                <w:sz w:val="24"/>
                <w:szCs w:val="24"/>
                <w:lang w:val="ru-RU" w:eastAsia="ru-RU"/>
              </w:rPr>
              <w:t xml:space="preserve">Технічні вимоги до предмета закупівлі зазначено в </w:t>
            </w:r>
            <w:r w:rsidRPr="0090257B">
              <w:rPr>
                <w:rFonts w:ascii="Times New Roman" w:eastAsia="Times New Roman" w:hAnsi="Times New Roman" w:cs="Times New Roman"/>
                <w:i/>
                <w:color w:val="000000"/>
                <w:sz w:val="24"/>
                <w:szCs w:val="24"/>
                <w:lang w:val="ru-RU" w:eastAsia="ru-RU"/>
              </w:rPr>
              <w:t>Додатку 3</w:t>
            </w:r>
            <w:r w:rsidRPr="0090257B">
              <w:rPr>
                <w:rFonts w:ascii="Times New Roman" w:eastAsia="Times New Roman" w:hAnsi="Times New Roman" w:cs="Times New Roman"/>
                <w:color w:val="000000"/>
                <w:sz w:val="24"/>
                <w:szCs w:val="24"/>
                <w:lang w:val="ru-RU" w:eastAsia="ru-RU"/>
              </w:rPr>
              <w:t xml:space="preserve"> до цієї тендерної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6E78CD" w:rsidRPr="003F241B" w:rsidTr="00905C96">
        <w:tc>
          <w:tcPr>
            <w:tcW w:w="1865" w:type="pct"/>
            <w:gridSpan w:val="2"/>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3.9. Інформація про субпідрядника (субпідрядників)</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3F241B" w:rsidTr="00905C96">
        <w:tc>
          <w:tcPr>
            <w:tcW w:w="1865" w:type="pct"/>
            <w:gridSpan w:val="2"/>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3F241B" w:rsidTr="00905C96">
        <w:tc>
          <w:tcPr>
            <w:tcW w:w="5000" w:type="pct"/>
            <w:gridSpan w:val="3"/>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4.1. Кінцевий строк подання </w:t>
            </w:r>
            <w:r w:rsidRPr="003F241B">
              <w:rPr>
                <w:rFonts w:ascii="Times New Roman" w:eastAsia="Times New Roman" w:hAnsi="Times New Roman" w:cs="Times New Roman"/>
                <w:sz w:val="24"/>
                <w:szCs w:val="24"/>
                <w:lang w:eastAsia="ru-RU"/>
              </w:rPr>
              <w:lastRenderedPageBreak/>
              <w:t>тендерної пропозиції</w:t>
            </w:r>
          </w:p>
        </w:tc>
        <w:tc>
          <w:tcPr>
            <w:tcW w:w="3135" w:type="pct"/>
            <w:shd w:val="clear" w:color="auto" w:fill="FFFFFF"/>
          </w:tcPr>
          <w:p w:rsidR="006E78CD" w:rsidRPr="003F241B"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lastRenderedPageBreak/>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00C62DD8" w:rsidRPr="002A5307">
              <w:rPr>
                <w:rFonts w:ascii="Times New Roman" w:eastAsia="Tahoma" w:hAnsi="Times New Roman" w:cs="Times New Roman"/>
                <w:b/>
                <w:bCs/>
                <w:i/>
                <w:color w:val="000000" w:themeColor="text1"/>
                <w:sz w:val="24"/>
                <w:szCs w:val="24"/>
                <w:lang w:eastAsia="zh-CN"/>
              </w:rPr>
              <w:lastRenderedPageBreak/>
              <w:t>08</w:t>
            </w:r>
            <w:r w:rsidR="004D45CB" w:rsidRPr="002A5307">
              <w:rPr>
                <w:rFonts w:ascii="Times New Roman" w:eastAsia="Tahoma" w:hAnsi="Times New Roman" w:cs="Times New Roman"/>
                <w:b/>
                <w:bCs/>
                <w:i/>
                <w:color w:val="000000" w:themeColor="text1"/>
                <w:sz w:val="24"/>
                <w:szCs w:val="24"/>
                <w:lang w:eastAsia="zh-CN"/>
              </w:rPr>
              <w:t>.02</w:t>
            </w:r>
            <w:r w:rsidRPr="002A5307">
              <w:rPr>
                <w:rFonts w:ascii="Times New Roman" w:eastAsia="Tahoma" w:hAnsi="Times New Roman" w:cs="Times New Roman"/>
                <w:b/>
                <w:bCs/>
                <w:i/>
                <w:color w:val="000000" w:themeColor="text1"/>
                <w:sz w:val="24"/>
                <w:szCs w:val="24"/>
                <w:lang w:eastAsia="zh-CN"/>
              </w:rPr>
              <w:t>.2024р</w:t>
            </w:r>
            <w:r w:rsidRPr="002A5307">
              <w:rPr>
                <w:rFonts w:ascii="Times New Roman" w:eastAsia="Tahoma" w:hAnsi="Times New Roman" w:cs="Times New Roman"/>
                <w:b/>
                <w:bCs/>
                <w:i/>
                <w:sz w:val="24"/>
                <w:szCs w:val="24"/>
                <w:lang w:eastAsia="zh-CN"/>
              </w:rPr>
              <w:t>.</w:t>
            </w:r>
            <w:bookmarkStart w:id="0" w:name="_GoBack"/>
            <w:bookmarkEnd w:id="0"/>
          </w:p>
          <w:p w:rsidR="006E78CD" w:rsidRPr="003F241B"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E78CD" w:rsidRPr="003F241B"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4.2. Дата та час розкриття тендерної пропозиції</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6E78CD" w:rsidRPr="003F241B" w:rsidTr="00905C96">
        <w:tc>
          <w:tcPr>
            <w:tcW w:w="5000" w:type="pct"/>
            <w:gridSpan w:val="3"/>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3F241B" w:rsidTr="00905C96">
        <w:tc>
          <w:tcPr>
            <w:tcW w:w="1865" w:type="pct"/>
            <w:gridSpan w:val="2"/>
            <w:shd w:val="clear" w:color="auto" w:fill="FFFFFF"/>
          </w:tcPr>
          <w:p w:rsidR="006E78CD" w:rsidRPr="003F241B"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3F241B" w:rsidTr="00905C96">
        <w:trPr>
          <w:trHeight w:val="297"/>
        </w:trPr>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5.3. Інша інформаці</w:t>
            </w:r>
          </w:p>
        </w:tc>
        <w:tc>
          <w:tcPr>
            <w:tcW w:w="3135" w:type="pct"/>
            <w:shd w:val="clear" w:color="auto" w:fill="FFFFFF"/>
            <w:vAlign w:val="center"/>
          </w:tcPr>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w:t>
            </w:r>
            <w:r w:rsidRPr="003F241B">
              <w:rPr>
                <w:rFonts w:ascii="Times New Roman" w:eastAsia="Times New Roman" w:hAnsi="Times New Roman" w:cs="Times New Roman"/>
                <w:color w:val="000000"/>
                <w:sz w:val="24"/>
                <w:szCs w:val="24"/>
                <w:lang w:eastAsia="ru-RU"/>
              </w:rPr>
              <w:lastRenderedPageBreak/>
              <w:t>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подають  у складі своєї пропозиції, документи, передбачені законодавством </w:t>
            </w:r>
            <w:proofErr w:type="gramStart"/>
            <w:r w:rsidRPr="003F241B">
              <w:rPr>
                <w:rFonts w:ascii="Times New Roman" w:eastAsia="Times New Roman" w:hAnsi="Times New Roman" w:cs="Times New Roman"/>
                <w:color w:val="000000"/>
                <w:sz w:val="24"/>
                <w:szCs w:val="24"/>
                <w:lang w:val="ru-RU" w:eastAsia="ru-RU"/>
              </w:rPr>
              <w:t>країн</w:t>
            </w:r>
            <w:proofErr w:type="gramEnd"/>
            <w:r w:rsidRPr="003F241B">
              <w:rPr>
                <w:rFonts w:ascii="Times New Roman" w:eastAsia="Times New Roman" w:hAnsi="Times New Roman" w:cs="Times New Roman"/>
                <w:color w:val="000000"/>
                <w:sz w:val="24"/>
                <w:szCs w:val="24"/>
                <w:lang w:val="ru-RU" w:eastAsia="ru-RU"/>
              </w:rPr>
              <w:t>, де вони зареєстровані.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3F241B">
              <w:rPr>
                <w:rFonts w:ascii="Times New Roman" w:eastAsia="Times New Roman" w:hAnsi="Times New Roman" w:cs="Times New Roman"/>
                <w:color w:val="000000"/>
                <w:sz w:val="24"/>
                <w:szCs w:val="24"/>
                <w:lang w:val="ru-RU" w:eastAsia="ru-RU"/>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w:t>
            </w:r>
            <w:r w:rsidRPr="003F241B">
              <w:rPr>
                <w:rFonts w:ascii="Times New Roman" w:eastAsia="Times New Roman" w:hAnsi="Times New Roman" w:cs="Times New Roman"/>
                <w:color w:val="000000"/>
                <w:sz w:val="24"/>
                <w:szCs w:val="24"/>
                <w:lang w:val="ru-RU" w:eastAsia="ru-RU"/>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3F241B" w:rsidTr="00905C96">
        <w:trPr>
          <w:trHeight w:val="1828"/>
        </w:trPr>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громадянином Російської Федерації/Республіки </w:t>
            </w:r>
            <w:r w:rsidRPr="003F241B">
              <w:rPr>
                <w:rFonts w:ascii="Times New Roman" w:eastAsia="Times New Roman" w:hAnsi="Times New Roman" w:cs="Times New Roman"/>
                <w:sz w:val="24"/>
                <w:szCs w:val="24"/>
                <w:lang w:eastAsia="ru-RU"/>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відмовився від підписання договору про закупівлю відповідно до вимог тендерної документації або </w:t>
            </w:r>
            <w:r w:rsidRPr="003F241B">
              <w:rPr>
                <w:rFonts w:ascii="Times New Roman" w:eastAsia="Times New Roman" w:hAnsi="Times New Roman" w:cs="Times New Roman"/>
                <w:sz w:val="24"/>
                <w:szCs w:val="24"/>
                <w:lang w:eastAsia="ru-RU"/>
              </w:rPr>
              <w:lastRenderedPageBreak/>
              <w:t>укладення договору про закупівлю;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78CD" w:rsidRPr="003F241B" w:rsidRDefault="00887455" w:rsidP="006E78CD">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3F241B" w:rsidTr="00905C96">
        <w:tc>
          <w:tcPr>
            <w:tcW w:w="5000" w:type="pct"/>
            <w:gridSpan w:val="3"/>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 xml:space="preserve">Відміна Замовником торгів чи </w:t>
            </w:r>
            <w:r w:rsidRPr="003F241B">
              <w:rPr>
                <w:rFonts w:ascii="Times New Roman" w:eastAsia="Times New Roman" w:hAnsi="Times New Roman" w:cs="Times New Roman"/>
                <w:sz w:val="24"/>
                <w:szCs w:val="24"/>
                <w:lang w:eastAsia="uk-UA"/>
              </w:rPr>
              <w:lastRenderedPageBreak/>
              <w:t>визнання їх такими, що не відбулися</w:t>
            </w:r>
          </w:p>
        </w:tc>
        <w:tc>
          <w:tcPr>
            <w:tcW w:w="3135" w:type="pct"/>
            <w:shd w:val="clear" w:color="auto" w:fill="FFFFFF"/>
          </w:tcPr>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lastRenderedPageBreak/>
              <w:t>Замовник відміняє відкриті торги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lastRenderedPageBreak/>
              <w:t>1) відсутності подальшої потреби в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 xml:space="preserve">У разі відміни відкритих торгів замовник </w:t>
            </w:r>
            <w:r w:rsidRPr="00B5695F">
              <w:rPr>
                <w:rFonts w:ascii="Times New Roman" w:eastAsia="Times New Roman" w:hAnsi="Times New Roman" w:cs="Times New Roman"/>
                <w:b/>
                <w:i/>
                <w:color w:val="000000"/>
                <w:sz w:val="24"/>
                <w:szCs w:val="24"/>
                <w:lang w:val="ru-RU" w:eastAsia="ru-RU"/>
              </w:rPr>
              <w:t>протягом одного робочого дня</w:t>
            </w:r>
            <w:r w:rsidRPr="00B5695F">
              <w:rPr>
                <w:rFonts w:ascii="Times New Roman" w:eastAsia="Times New Roman" w:hAnsi="Times New Roman" w:cs="Times New Roman"/>
                <w:color w:val="000000"/>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 xml:space="preserve">   Відкриті торги автоматично відміняються електронною системою закупівель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Відкриті торги можуть бути відмінені частково (за лотом).</w:t>
            </w:r>
          </w:p>
          <w:p w:rsidR="006E78CD" w:rsidRPr="003F241B"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не пізніше ніж через 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3F241B">
              <w:rPr>
                <w:rFonts w:ascii="Times New Roman" w:eastAsia="Arial" w:hAnsi="Times New Roman" w:cs="Times New Roman"/>
                <w:sz w:val="24"/>
                <w:szCs w:val="24"/>
                <w:lang w:val="ru-RU" w:eastAsia="ru-RU"/>
              </w:rPr>
              <w:lastRenderedPageBreak/>
              <w:t>зупиняється.</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6E78CD" w:rsidRPr="003F241B"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3F241B" w:rsidTr="00905C96">
        <w:tc>
          <w:tcPr>
            <w:tcW w:w="1865" w:type="pct"/>
            <w:gridSpan w:val="2"/>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rsidR="006E78CD" w:rsidRPr="003F241B"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3F241B" w:rsidTr="00905C96">
        <w:tc>
          <w:tcPr>
            <w:tcW w:w="1865" w:type="pct"/>
            <w:gridSpan w:val="2"/>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lastRenderedPageBreak/>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2A5307"/>
    <w:sectPr w:rsidR="00502F25" w:rsidSect="00F038C6">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050667"/>
    <w:rsid w:val="00090922"/>
    <w:rsid w:val="000A6BD8"/>
    <w:rsid w:val="001C5D24"/>
    <w:rsid w:val="001D01C7"/>
    <w:rsid w:val="00237CCC"/>
    <w:rsid w:val="00282B59"/>
    <w:rsid w:val="002A5307"/>
    <w:rsid w:val="002B5AE4"/>
    <w:rsid w:val="002C444C"/>
    <w:rsid w:val="00325012"/>
    <w:rsid w:val="00345EC5"/>
    <w:rsid w:val="003B4460"/>
    <w:rsid w:val="003C4060"/>
    <w:rsid w:val="003F241B"/>
    <w:rsid w:val="003F626F"/>
    <w:rsid w:val="00411774"/>
    <w:rsid w:val="004400FB"/>
    <w:rsid w:val="00465742"/>
    <w:rsid w:val="0048309B"/>
    <w:rsid w:val="00497BB7"/>
    <w:rsid w:val="004C29CB"/>
    <w:rsid w:val="004D45CB"/>
    <w:rsid w:val="00502EA9"/>
    <w:rsid w:val="00584054"/>
    <w:rsid w:val="00584E3A"/>
    <w:rsid w:val="005921FF"/>
    <w:rsid w:val="0059463B"/>
    <w:rsid w:val="006016C6"/>
    <w:rsid w:val="0061708F"/>
    <w:rsid w:val="006C773E"/>
    <w:rsid w:val="006E17E7"/>
    <w:rsid w:val="006E78CD"/>
    <w:rsid w:val="00712AA9"/>
    <w:rsid w:val="007211E2"/>
    <w:rsid w:val="007525E9"/>
    <w:rsid w:val="00783C2E"/>
    <w:rsid w:val="007D5D9B"/>
    <w:rsid w:val="008133D6"/>
    <w:rsid w:val="008370EB"/>
    <w:rsid w:val="00844F29"/>
    <w:rsid w:val="00856BD7"/>
    <w:rsid w:val="00887455"/>
    <w:rsid w:val="008B475E"/>
    <w:rsid w:val="0090257B"/>
    <w:rsid w:val="00974AA1"/>
    <w:rsid w:val="009764C3"/>
    <w:rsid w:val="00976623"/>
    <w:rsid w:val="00987D72"/>
    <w:rsid w:val="009C050E"/>
    <w:rsid w:val="009F1A3D"/>
    <w:rsid w:val="00A40A71"/>
    <w:rsid w:val="00AA58B9"/>
    <w:rsid w:val="00B033A7"/>
    <w:rsid w:val="00B43FAC"/>
    <w:rsid w:val="00B5695F"/>
    <w:rsid w:val="00B868D7"/>
    <w:rsid w:val="00BB54D0"/>
    <w:rsid w:val="00BF374F"/>
    <w:rsid w:val="00C27F38"/>
    <w:rsid w:val="00C62DD8"/>
    <w:rsid w:val="00C7016D"/>
    <w:rsid w:val="00C80C53"/>
    <w:rsid w:val="00C82C4B"/>
    <w:rsid w:val="00D25AF2"/>
    <w:rsid w:val="00D80D5D"/>
    <w:rsid w:val="00DA7CD1"/>
    <w:rsid w:val="00DE1757"/>
    <w:rsid w:val="00DF1BAD"/>
    <w:rsid w:val="00E02142"/>
    <w:rsid w:val="00E12F56"/>
    <w:rsid w:val="00E466F9"/>
    <w:rsid w:val="00EE7BB3"/>
    <w:rsid w:val="00F038C6"/>
    <w:rsid w:val="00F93150"/>
    <w:rsid w:val="00FB1C89"/>
    <w:rsid w:val="00FD1B32"/>
    <w:rsid w:val="00FF66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19</Pages>
  <Words>27978</Words>
  <Characters>15948</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79</cp:revision>
  <dcterms:created xsi:type="dcterms:W3CDTF">2024-01-15T12:30:00Z</dcterms:created>
  <dcterms:modified xsi:type="dcterms:W3CDTF">2024-01-31T10:34:00Z</dcterms:modified>
</cp:coreProperties>
</file>