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D9" w:rsidRDefault="006B5AD9" w:rsidP="006B5AD9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3</w:t>
      </w:r>
    </w:p>
    <w:p w:rsidR="006B5AD9" w:rsidRDefault="006B5AD9" w:rsidP="006B5A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вимоги</w:t>
      </w:r>
    </w:p>
    <w:p w:rsidR="006B5AD9" w:rsidRDefault="006B5AD9" w:rsidP="006B5AD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ІНФОРМАЦІЯ</w:t>
      </w: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6B5AD9" w:rsidRPr="00031CFC" w:rsidRDefault="006B5AD9" w:rsidP="006B5AD9">
      <w:pPr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:rsidR="006B5AD9" w:rsidRPr="00031CFC" w:rsidRDefault="006B5AD9" w:rsidP="006B5AD9">
      <w:pPr>
        <w:keepNext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hi-IN"/>
        </w:rPr>
      </w:pPr>
      <w:r w:rsidRPr="00031CFC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103"/>
        <w:gridCol w:w="2668"/>
        <w:gridCol w:w="1701"/>
      </w:tblGrid>
      <w:tr w:rsidR="006B5AD9" w:rsidRPr="00031CFC" w:rsidTr="00C63BAF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2668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  <w:tc>
          <w:tcPr>
            <w:tcW w:w="1701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6B5AD9" w:rsidRPr="00031CFC" w:rsidTr="00C63BAF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 xml:space="preserve">код ДК 021:2015: 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09310000-5 «Електрична енергія»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 xml:space="preserve"> (</w:t>
            </w:r>
            <w:r w:rsidR="001C193B" w:rsidRPr="001C193B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>Електрична енергія структурного підрозділу "Лісове озеро"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2668" w:type="dxa"/>
            <w:vAlign w:val="bottom"/>
          </w:tcPr>
          <w:p w:rsidR="006B5AD9" w:rsidRPr="00031CFC" w:rsidRDefault="006B5AD9" w:rsidP="00AE45AA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кВт/год.</w:t>
            </w:r>
          </w:p>
        </w:tc>
        <w:tc>
          <w:tcPr>
            <w:tcW w:w="1701" w:type="dxa"/>
            <w:vAlign w:val="bottom"/>
          </w:tcPr>
          <w:p w:rsidR="006B5AD9" w:rsidRPr="00031CFC" w:rsidRDefault="00873050" w:rsidP="001C193B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="001C193B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="00C63BAF" w:rsidRPr="00C63BAF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0 000</w:t>
            </w:r>
          </w:p>
        </w:tc>
      </w:tr>
    </w:tbl>
    <w:p w:rsidR="006B5AD9" w:rsidRPr="00031CFC" w:rsidRDefault="006B5AD9" w:rsidP="006B5AD9">
      <w:pPr>
        <w:keepNext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873050" w:rsidRPr="00031CFC" w:rsidRDefault="00873050" w:rsidP="00C63BAF">
      <w:pPr>
        <w:numPr>
          <w:ilvl w:val="0"/>
          <w:numId w:val="1"/>
        </w:numPr>
        <w:tabs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Обсяги постачання електричної енергії з </w:t>
      </w:r>
      <w:r w:rsidRPr="00C63BA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01.</w:t>
      </w:r>
      <w:r w:rsidR="00C63BAF" w:rsidRPr="00C63BA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01</w:t>
      </w:r>
      <w:r w:rsidRPr="00C63BA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.202</w:t>
      </w:r>
      <w:r w:rsidR="00C63BAF" w:rsidRPr="00C63BA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3</w:t>
      </w:r>
      <w:r w:rsidRPr="00C63BA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р. по 31.12.202</w:t>
      </w:r>
      <w:r w:rsidR="00C63BAF" w:rsidRPr="00C63BA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3</w:t>
      </w:r>
      <w:r w:rsidRPr="00C63BA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р.</w:t>
      </w: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 </w:t>
      </w:r>
    </w:p>
    <w:p w:rsidR="00873050" w:rsidRPr="00031CFC" w:rsidRDefault="00873050" w:rsidP="00C63BAF">
      <w:pPr>
        <w:jc w:val="both"/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</w:pPr>
      <w:r w:rsidRPr="00031CFC">
        <w:rPr>
          <w:rFonts w:ascii="Liberation Serif" w:eastAsia="Times New Roman" w:hAnsi="Liberation Serif" w:cs="Lohit Devanagari"/>
          <w:color w:val="00000A"/>
          <w:kern w:val="2"/>
          <w:sz w:val="24"/>
          <w:szCs w:val="24"/>
          <w:lang w:val="uk-UA" w:eastAsia="zh-CN" w:bidi="hi-IN"/>
        </w:rPr>
        <w:t xml:space="preserve">Замовник може зменшити обсяги закупівлі в залежності від </w:t>
      </w:r>
      <w:r w:rsidRPr="00031CFC"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  <w:t>фактичної потреб</w:t>
      </w:r>
      <w:r w:rsidR="00C63BAF"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  <w:t>и.</w:t>
      </w:r>
    </w:p>
    <w:p w:rsidR="00873050" w:rsidRPr="00C63BAF" w:rsidRDefault="00873050" w:rsidP="001C193B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C63BA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Місце розташування об’єкта Замовника: </w:t>
      </w:r>
      <w:r w:rsidR="00C63BAF" w:rsidRPr="00C63BA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м.</w:t>
      </w:r>
      <w:r w:rsidR="00C63BA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Ніжин, Чернігівська обл. вул. Графська, 2.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1C193B" w:rsidRPr="001C19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Україна, Чернігівська область, </w:t>
      </w:r>
      <w:proofErr w:type="spellStart"/>
      <w:r w:rsidR="001C193B" w:rsidRPr="001C19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Борзнянський</w:t>
      </w:r>
      <w:proofErr w:type="spellEnd"/>
      <w:r w:rsidR="001C193B" w:rsidRPr="001C19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р-н, с. </w:t>
      </w:r>
      <w:proofErr w:type="spellStart"/>
      <w:r w:rsidR="001C193B" w:rsidRPr="001C19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Ядути</w:t>
      </w:r>
      <w:proofErr w:type="spellEnd"/>
      <w:r w:rsidR="001C193B" w:rsidRPr="001C19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табір «Лісове озеро»</w:t>
      </w:r>
      <w:bookmarkStart w:id="0" w:name="_GoBack"/>
      <w:bookmarkEnd w:id="0"/>
    </w:p>
    <w:p w:rsidR="00873050" w:rsidRPr="00031CFC" w:rsidRDefault="00873050" w:rsidP="00C63BAF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Клас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– 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="00C63BA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873050" w:rsidRPr="00031CFC" w:rsidRDefault="00873050" w:rsidP="00873050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укладає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встановленому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порядку з оператором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системи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r w:rsidRPr="00031CF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АКЦІОНЕРНЕ ТОВАРИСТВО «ЧЕРНІГІВОБЛЕНЕРГО» (код ЄДРПОУ 22815333)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договір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підставі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набуває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право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отримувати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нормам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сфері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електроенергетики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взаємовідносини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процесі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зокрема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Закону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України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«Про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ринок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»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13.04.2017 № 2019-VШ;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Правилам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роздрібного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ринку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№312);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передачі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№309);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№310);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обліку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№311);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№1469);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№1470).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Для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безперервного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здійснювати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своєчасну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закупівлю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обсягах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належних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умов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забезпечать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задоволення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попиту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lastRenderedPageBreak/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забезпечити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передбачає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вчасне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інформування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вартість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роз'яснень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положень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актів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якими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ведення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точних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прозорих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розрахунків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також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можливість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вирішення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спірних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питань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шляхом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досудового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врегулювання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Параметри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точках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приєднання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нормальних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експлуатації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параметрам,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визначеним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мережах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загальної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призначеності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».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виконанні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дотримується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вимог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захисту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довкілля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технічні, якісні характеристики предмету закупівлі повинні відповідати встановленим/зареєстрованим діючим нормативним актам (стандартам, умовам, тощо), які передбачають застосування заходів із захисту довкілля;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характеристики предмету закупівлі повинні відповідати вимогам чинних нормативно-правових актів щодо встановлення рівнів шкідливого та біологічного впливу на навколишнє природнє середовище і здоров’я людини;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</w:pPr>
      <w:r w:rsidRPr="00031CFC"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  <w:t>Для підтвердження Учасник надає лист в довільній формі.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Pr="00031CFC" w:rsidRDefault="006B5AD9" w:rsidP="006B5AD9">
      <w:pPr>
        <w:tabs>
          <w:tab w:val="left" w:pos="709"/>
          <w:tab w:val="num" w:pos="851"/>
        </w:tabs>
        <w:spacing w:line="240" w:lineRule="atLeast"/>
        <w:ind w:firstLine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3. При поданні пропозицій Учасником, повинні бути враховані чинні нормативно-правові документи, які запроваджують спеціальні економічні та інші обмежувальні заходи та заходи у сфері зовнішньоекономічної діяльності, зокрема: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14.08.2014р. №  1644-VII «Про санкції»;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14.10.2014р.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16.04.1991р. № 959-XII «Про зовнішньоекономічну діяльність»;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15.05.2017р. N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14.05.2018 № 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06.03.2018 № 57/2018 «Про рішення Ради національної безпеки і оборони України від 1 березня 2018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1147 «Про заборону ввезення на митну територію України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1146 «Про ставки ввізного мита стосовно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11.09.2014р. № 829-р «Про пропозиції щодо застосування персональних спеціальних економічних та інших обмежувальних заходів»;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lastRenderedPageBreak/>
        <w:t>Розпорядження КМУ від 12.08.2015р. N 808-р «Про розширення пропозицій щодо застосування персональних спеціальних економічних та інших обмежувальних заходів»;</w:t>
      </w:r>
    </w:p>
    <w:p w:rsidR="006B5AD9" w:rsidRPr="00C63BAF" w:rsidRDefault="006B5AD9" w:rsidP="00C63BAF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інші нормативно-правові акти щодо запровадження спеціальних економічних та інших обмежувальних заходів.</w:t>
      </w:r>
    </w:p>
    <w:p w:rsidR="009D3D55" w:rsidRPr="006B5AD9" w:rsidRDefault="009D3D55">
      <w:pPr>
        <w:rPr>
          <w:lang w:val="uk-UA"/>
        </w:rPr>
      </w:pPr>
    </w:p>
    <w:sectPr w:rsidR="009D3D55" w:rsidRPr="006B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B6012B"/>
    <w:multiLevelType w:val="hybridMultilevel"/>
    <w:tmpl w:val="9A90FDB2"/>
    <w:lvl w:ilvl="0" w:tplc="5202A70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</w:rPr>
    </w:lvl>
    <w:lvl w:ilvl="1" w:tplc="75967024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E1E83"/>
    <w:multiLevelType w:val="hybridMultilevel"/>
    <w:tmpl w:val="E8CA1A2C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D9"/>
    <w:rsid w:val="000316F3"/>
    <w:rsid w:val="001C193B"/>
    <w:rsid w:val="006B5AD9"/>
    <w:rsid w:val="00873050"/>
    <w:rsid w:val="009D3D55"/>
    <w:rsid w:val="00C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5AB5"/>
  <w15:docId w15:val="{AC1A9EA1-A276-4340-8257-4F45C262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2022-11-28T13:39:00Z</dcterms:created>
  <dcterms:modified xsi:type="dcterms:W3CDTF">2022-11-28T13:39:00Z</dcterms:modified>
</cp:coreProperties>
</file>