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F3" w:rsidRDefault="00663D65">
      <w:pPr>
        <w:spacing w:after="0" w:line="240" w:lineRule="auto"/>
        <w:jc w:val="right"/>
        <w:rPr>
          <w:rFonts w:eastAsia="SimSun" w:cs="Tahoma"/>
          <w:sz w:val="24"/>
          <w:szCs w:val="24"/>
          <w:lang w:val="uk-UA"/>
        </w:rPr>
      </w:pPr>
      <w:r>
        <w:rPr>
          <w:rFonts w:ascii="Times New Roman" w:eastAsia="SimSun" w:hAnsi="Times New Roman"/>
          <w:b/>
          <w:sz w:val="24"/>
          <w:szCs w:val="24"/>
          <w:lang w:val="uk-UA"/>
        </w:rPr>
        <w:t>Додаток №3</w:t>
      </w:r>
    </w:p>
    <w:p w:rsidR="000320F3" w:rsidRPr="00B33E42" w:rsidRDefault="00663D65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val="uk-UA"/>
        </w:rPr>
        <w:t>до тендерної документації</w:t>
      </w:r>
    </w:p>
    <w:p w:rsidR="000320F3" w:rsidRDefault="000320F3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20F3" w:rsidRDefault="00663D65">
      <w:pPr>
        <w:spacing w:after="0" w:line="240" w:lineRule="auto"/>
        <w:ind w:right="22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ТЕХНІЧНІ, ЯКІСНІ ТА КІЛЬКІСНІ ХАРАКТЕРИСТИКИ </w:t>
      </w:r>
    </w:p>
    <w:p w:rsidR="000320F3" w:rsidRDefault="00663D65">
      <w:pPr>
        <w:spacing w:after="0" w:line="240" w:lineRule="auto"/>
        <w:ind w:right="22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ПРЕДМЕТУ ЗАКУПІВЛІ, ТЕХНІЧНА СПЕЦИФІКАЦІЯ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20F3" w:rsidRDefault="000320F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F3" w:rsidRDefault="00663D65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8"/>
          <w:lang w:val="uk-UA" w:eastAsia="ar-SA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ar-SA" w:bidi="hi-IN"/>
        </w:rPr>
        <w:t>ДК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ar-SA" w:bidi="hi-IN"/>
        </w:rPr>
        <w:t xml:space="preserve"> 021:2015: </w:t>
      </w:r>
      <w:r>
        <w:rPr>
          <w:rFonts w:ascii="Times New Roman" w:hAnsi="Times New Roman" w:cs="Times New Roman"/>
          <w:b/>
          <w:sz w:val="24"/>
          <w:szCs w:val="16"/>
          <w:shd w:val="clear" w:color="auto" w:fill="FFFFFF"/>
          <w:lang w:val="uk-UA"/>
        </w:rPr>
        <w:t>45310000-3 Електромонтажні роботи</w:t>
      </w:r>
    </w:p>
    <w:p w:rsidR="000320F3" w:rsidRDefault="00663D65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32"/>
          <w:lang w:val="uk-UA"/>
        </w:rPr>
        <w:t xml:space="preserve">«Послуги протипожежного призначення з встановлення пожежної сигналізації в Криворізькій гімназії № 40 Криворізької міської ради за адресою: м. Кривий Ріг, </w:t>
      </w:r>
    </w:p>
    <w:p w:rsidR="000320F3" w:rsidRDefault="00663D65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32"/>
          <w:lang w:val="uk-UA"/>
        </w:rPr>
        <w:t>вул. Музейна, 2Б»</w:t>
      </w:r>
    </w:p>
    <w:p w:rsidR="000320F3" w:rsidRDefault="000320F3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Учасники процедури закупівлі надають в складі тендерної пропозиції інформацію та </w:t>
      </w:r>
      <w:r>
        <w:rPr>
          <w:rFonts w:ascii="Times New Roman" w:hAnsi="Times New Roman"/>
          <w:sz w:val="24"/>
          <w:szCs w:val="24"/>
          <w:lang w:val="uk-UA" w:eastAsia="uk-UA"/>
        </w:rPr>
        <w:t>документи, які підтверджують відповідність тендерної пропозиції учасника критеріям до предмета закупівлі та технічних вимог, встановлених замовником та документи (скановані оригінали або завірені копії) необхідність надання яких визначена даним додатком).</w:t>
      </w:r>
    </w:p>
    <w:p w:rsidR="000320F3" w:rsidRDefault="00663D6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 Термін виконання послуг – протягом дії Договору, окремі етапи послуг (монтаж систем) виконуються згідно зі строками, погодженими з Замовником, але не пізніше ніж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до </w:t>
      </w:r>
      <w:r w:rsidR="00B33E4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12.2023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ar-SA"/>
        </w:rPr>
        <w:t xml:space="preserve">Послуги надаватимуться згідно з графіком. Учасник в складі пропозиції має 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ar-SA"/>
        </w:rPr>
        <w:t xml:space="preserve">надати орієнтовний графік надання послуг, який в  подальшому буде узгоджений  з відділом освіти. 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 Загальний обсяг послуг включає в себе: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1148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4"/>
        <w:gridCol w:w="7478"/>
        <w:gridCol w:w="1276"/>
        <w:gridCol w:w="1134"/>
        <w:gridCol w:w="1135"/>
      </w:tblGrid>
      <w:tr w:rsidR="000320F3">
        <w:trPr>
          <w:gridAfter w:val="1"/>
          <w:wAfter w:w="1135" w:type="dxa"/>
          <w:trHeight w:val="223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</w:tc>
        <w:tc>
          <w:tcPr>
            <w:tcW w:w="74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ind w:left="280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Найменування робіт і витрат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Од.виміру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</w:tc>
      </w:tr>
      <w:tr w:rsidR="000320F3">
        <w:trPr>
          <w:gridAfter w:val="1"/>
          <w:wAfter w:w="1135" w:type="dxa"/>
          <w:trHeight w:val="19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ЕТАП 1</w:t>
            </w:r>
          </w:p>
        </w:tc>
      </w:tr>
      <w:tr w:rsidR="000320F3">
        <w:trPr>
          <w:gridAfter w:val="1"/>
          <w:wAfter w:w="1135" w:type="dxa"/>
          <w:trHeight w:val="19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Монтажні роботи</w:t>
            </w:r>
          </w:p>
        </w:tc>
      </w:tr>
      <w:tr w:rsidR="000320F3">
        <w:trPr>
          <w:gridAfter w:val="1"/>
          <w:wAfter w:w="1135" w:type="dxa"/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Монтаж приладу керування ПУ-П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Монтаж модуля узгодження шлейфів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0320F3">
        <w:trPr>
          <w:gridAfter w:val="1"/>
          <w:wAfter w:w="1135" w:type="dxa"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Монтаж блока сполучення адресного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Монтаж модуля МЦА GSM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gridAfter w:val="1"/>
          <w:wAfter w:w="1135" w:type="dxa"/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Сповiщувач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автоматичний димовий у нормальному виконані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сповіщувача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пожежного димового оптичного лінійного Артон-ДЛ3 без рефлектора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Сповiщувач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автоматичний тепловий у нормальному виконані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Сповiщувач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автоматичний ручний у нормальному виконані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Сповiщувач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автоматичний</w:t>
            </w:r>
            <w:r>
              <w:rPr>
                <w:rFonts w:ascii="Times New Roman" w:hAnsi="Times New Roman" w:cs="Times New Roman"/>
                <w:lang w:val="uk-UA"/>
              </w:rPr>
              <w:t xml:space="preserve"> світловий у нормальному виконані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Реле, установлене на пультах і панелях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щт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Монтаж устаткування мовленнєвого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оповіщування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людей про пожежу ВЕЛЛЗн-120-400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gridAfter w:val="1"/>
          <w:wAfter w:w="1135" w:type="dxa"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Монтаж безперервного блока живлення БЖ-1230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Монтаж гучномовця у приміщенні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</w:tr>
      <w:tr w:rsidR="000320F3">
        <w:trPr>
          <w:gridAfter w:val="1"/>
          <w:wAfter w:w="1135" w:type="dxa"/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Монтаж пульта диспетчера СД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Конструкції для установлення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сповіщувача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1135" w:type="dxa"/>
            <w:vAlign w:val="bottom"/>
          </w:tcPr>
          <w:p w:rsidR="000320F3" w:rsidRDefault="000320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20F3">
        <w:trPr>
          <w:gridAfter w:val="1"/>
          <w:wAfter w:w="1135" w:type="dxa"/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Монтаж акумулятора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gridAfter w:val="1"/>
          <w:wAfter w:w="1135" w:type="dxa"/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Прокладання коробів пластикових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1620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Кабель до 35 кВ у прокладений трубах, блоках і коробах, маса 1 м до 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3620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Рукав металевий, зовнішній діаметр до 48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ind w:left="38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Монтаж коробки під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Пробивання круглих отворів діаметром до 25 мм в цегляних стінах товщиною до 25 см (при проведені робіт на висоті від опорної площадки понад 1,5м)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Вимикач автоматичний [автомат]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одно-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дво-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триполюсний, що установлюється на конструкції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стiнi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або колоні, струм до 25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Монтаж модуля виклику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вандалозахищеного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320F3">
        <w:trPr>
          <w:gridAfter w:val="1"/>
          <w:wAfter w:w="1135" w:type="dxa"/>
          <w:trHeight w:val="19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ЕТАП 2</w:t>
            </w:r>
          </w:p>
        </w:tc>
      </w:tr>
      <w:tr w:rsidR="000320F3">
        <w:trPr>
          <w:gridAfter w:val="1"/>
          <w:wAfter w:w="1135" w:type="dxa"/>
          <w:trHeight w:val="21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0F3" w:rsidRDefault="000320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Пусконалагоджувальні роботи</w:t>
            </w:r>
          </w:p>
        </w:tc>
      </w:tr>
      <w:tr w:rsidR="000320F3">
        <w:trPr>
          <w:gridAfter w:val="1"/>
          <w:wAfter w:w="1135" w:type="dxa"/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Системи багатоконтурні (каскадні або інші складні автоматичного регулювання) багатоконтурні з числом параметрів настроювання 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Системи багатоконтурні (каскадні або інші складні автоматичного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регулювання) багатоконтурні з числом параметрів настроювання: на кожний наступний шлейф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Прилад, пристрій програмування і налагодження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320F3">
        <w:trPr>
          <w:gridAfter w:val="1"/>
          <w:wAfter w:w="1135" w:type="dxa"/>
          <w:trHeight w:val="19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ЕТАП 3</w:t>
            </w:r>
          </w:p>
        </w:tc>
      </w:tr>
      <w:tr w:rsidR="000320F3">
        <w:trPr>
          <w:gridAfter w:val="1"/>
          <w:wAfter w:w="1135" w:type="dxa"/>
          <w:trHeight w:val="21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0F3" w:rsidRDefault="000320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Вимірювання опору заземлення та супутні послуги</w:t>
            </w:r>
          </w:p>
        </w:tc>
      </w:tr>
      <w:tr w:rsidR="000320F3">
        <w:trPr>
          <w:gridAfter w:val="1"/>
          <w:wAfter w:w="1135" w:type="dxa"/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Замір повного опору петлі фаза-нуль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 до діючих нормативів</w:t>
            </w:r>
          </w:p>
        </w:tc>
      </w:tr>
      <w:tr w:rsidR="000320F3" w:rsidRPr="00B33E42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Вимір опору ізоляції перехідних контактів мережі захисних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заземляючих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провідників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032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20F3" w:rsidRPr="00B33E42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Вимірювання опору ізоляції провідних кабельних ліній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032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20F3">
        <w:trPr>
          <w:gridAfter w:val="1"/>
          <w:wAfter w:w="1135" w:type="dxa"/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663D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3" w:rsidRDefault="00663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Вимірювання опору розтікання на основних заземлювачах і заземленнях щитів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F3" w:rsidRDefault="00032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320F3" w:rsidRDefault="000320F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У разі виникнення додаткових питань з технічного завдання Учасник може відвідати </w:t>
      </w:r>
      <w:r>
        <w:rPr>
          <w:rFonts w:ascii="Times New Roman" w:hAnsi="Times New Roman"/>
          <w:sz w:val="24"/>
          <w:szCs w:val="24"/>
          <w:lang w:val="uk-UA" w:eastAsia="uk-UA"/>
        </w:rPr>
        <w:t>об’єкт та отримати відповіді на всі виниклі запитання.  Відвідування організовується в робочі дні закладу (понеділок-п’ятниця) з 10 до 13 години. Учасники при проведенні відвідування повідомляють адміністрацію закладу про мету (участь в тендері), дату, над</w:t>
      </w:r>
      <w:r>
        <w:rPr>
          <w:rFonts w:ascii="Times New Roman" w:hAnsi="Times New Roman"/>
          <w:sz w:val="24"/>
          <w:szCs w:val="24"/>
          <w:lang w:val="uk-UA" w:eastAsia="uk-UA"/>
        </w:rPr>
        <w:t>ають відомості про фізичних осіб-представників учасника, які безпосередньо проводять відвідування.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Учасники мають підтвердити наявність діючих свідоцтв на повірки обладнання для виконання послуг, зокрема: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1)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Мультиметр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цифровий 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2)Вольтметр 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3)Омметр 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4)Ко</w:t>
      </w:r>
      <w:r>
        <w:rPr>
          <w:rFonts w:ascii="Times New Roman" w:hAnsi="Times New Roman"/>
          <w:sz w:val="24"/>
          <w:szCs w:val="24"/>
          <w:lang w:val="uk-UA" w:eastAsia="uk-UA"/>
        </w:rPr>
        <w:t>мплект тестових приладів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5)Мегомметр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6)Обладнання для проведення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гідро-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пневмо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випробувань на міцність та герметичність елементів протипожежних систем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Учасники мають гарантувати поставку на об’єкт матеріальних ресурсів належної якості та комплектності.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Якість та комплектність робіт має відповідати вимогам і умовам, що зазвичай ставляться та бути врахована на момент подання пропозиції. Зниження ціни пропозиції допускається виключно за рахунок прибутку учасника. 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Попередня оплата не передбачена. Оплата наданих послуг проводиться в межах дії договору (не пізніше останнього робочого дня строку дії договору) за відсутності зауважень щодо якості і комплектності послуг в цілому. Замовник може прийняти рішення про оплату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отриманих послуг частинами відповідно до наявного фінансування та виконаних (завершених) обсягів.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Організація учасника має відповідати вимогам законодавства з організаційних питань (підтверджується звітом за результатами сертифікаційного аудиту та сертиф</w:t>
      </w:r>
      <w:r>
        <w:rPr>
          <w:rFonts w:ascii="Times New Roman" w:hAnsi="Times New Roman"/>
          <w:sz w:val="24"/>
          <w:szCs w:val="24"/>
          <w:lang w:val="uk-UA" w:eastAsia="uk-UA"/>
        </w:rPr>
        <w:t>ікату ISO 9001:2015 – сфера сертифікації: проектування, монтаж, технічне обслуговування засобів протипожежного захисту, технічне обслуговування пожежної (або охоронно-пожежної) сигналізації), установок (або систем) пожежогасіння, оповіщення та управління е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вакуацією людей при пожежі, первинних засобів пожежогасіння, пожежного спостереження або </w:t>
      </w:r>
      <w:r>
        <w:rPr>
          <w:rFonts w:ascii="Times New Roman" w:hAnsi="Times New Roman" w:cs="Times New Roman"/>
          <w:sz w:val="24"/>
          <w:szCs w:val="18"/>
          <w:shd w:val="clear" w:color="auto" w:fill="FFFFFF"/>
          <w:lang w:val="uk-UA"/>
        </w:rPr>
        <w:t>спостерігання за системами протипожежного захисту</w:t>
      </w:r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Учасники мають підтвердити: 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Наявність ліцензії на провадження господарської діяльності за предметом закупівлі (пі</w:t>
      </w:r>
      <w:r>
        <w:rPr>
          <w:rFonts w:ascii="Times New Roman" w:hAnsi="Times New Roman"/>
          <w:sz w:val="24"/>
          <w:szCs w:val="24"/>
          <w:lang w:val="uk-UA" w:eastAsia="uk-UA"/>
        </w:rPr>
        <w:t>дтверджується довідкою з відомостями про дату та номер наказу ДСНС України про затвердження (видачу) ліцензії. Ліцензія повинна передбачити можливість виконання учасником наступних видів діяльності: Монтаж систем пожежної сигналізації, оповіщення про пожеж</w:t>
      </w:r>
      <w:r>
        <w:rPr>
          <w:rFonts w:ascii="Times New Roman" w:hAnsi="Times New Roman"/>
          <w:sz w:val="24"/>
          <w:szCs w:val="24"/>
          <w:lang w:val="uk-UA" w:eastAsia="uk-UA"/>
        </w:rPr>
        <w:t>у та управління евакуацією людей, передачі тривожних сповіщень; спостерігання за системами протипожежного захисту; технічне обслуговування первинних засобів пожежогасіння.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Наявність електротехнічної лабораторії (підтверджується копією свідоцтва виданого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на ім’я </w:t>
      </w: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учасника або договором оренди (позички тощо) цілісного програмно-апаратного комплексу обладнання електротехнічної лабораторії).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Наявність пульту пожежного спостерігання (устаткування для індикації центрів приймання тривожних сповіщень та відповідн</w:t>
      </w:r>
      <w:r>
        <w:rPr>
          <w:rFonts w:ascii="Times New Roman" w:hAnsi="Times New Roman"/>
          <w:sz w:val="24"/>
          <w:szCs w:val="24"/>
          <w:lang w:val="uk-UA" w:eastAsia="uk-UA"/>
        </w:rPr>
        <w:t>ого програмного забезпечення) (підтверджується довідкою учасника та копією документу, що підтверджує право використання обладнання).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33E42">
        <w:rPr>
          <w:rFonts w:ascii="Times New Roman" w:hAnsi="Times New Roman" w:cs="Times New Roman"/>
          <w:sz w:val="24"/>
          <w:szCs w:val="24"/>
          <w:lang w:val="uk-UA"/>
        </w:rPr>
        <w:t>аявність навченого виробничого та технічного персоналу відповідної кваліфікації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3E4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ПКМУ від 23 листопада 2016 р. </w:t>
      </w:r>
      <w:r w:rsidRPr="00B33E42">
        <w:rPr>
          <w:rFonts w:ascii="Times New Roman" w:hAnsi="Times New Roman" w:cs="Times New Roman"/>
          <w:sz w:val="24"/>
          <w:szCs w:val="24"/>
          <w:lang w:val="uk-UA"/>
        </w:rPr>
        <w:t>№852 «Деякі питання ліцензування господарської діяльності з надання послуг і виконання робіт протипожежного призначення», які мають необхідні знання та досвід для надання послуг</w:t>
      </w:r>
      <w:r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електромонтерів з ОПС, які пройшли навчання/підвищення кваліфікації та не м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ають протипоказань щодо виконання відповідної роботи (не менше трьох осіб) та 1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налагоджувальника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(підтвердження довідкою учасника щодо забезпечення необхідної кількості відповідних працівників);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к</w:t>
      </w:r>
      <w:r>
        <w:rPr>
          <w:rFonts w:ascii="Times New Roman" w:hAnsi="Times New Roman" w:cs="Times New Roman"/>
          <w:sz w:val="24"/>
          <w:szCs w:val="24"/>
          <w:lang w:val="uk-UA"/>
        </w:rPr>
        <w:t>ерівника робіт з монтажу, підтримання експлуатаційної придатності (технічного обслуговування) систем пожежної сигналізації, оповіщення про пожежу та управління евакуацією людей, устаткування для передачі тривожних сповіщень, що має стаж роботи за цим видом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робіт не менше трьох років або в органах та підрозділах цивільного захисту (за спеціальністю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“Пожежна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безпека”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не менше п’яти років, та вищу освіту за однією із спеціальностей у галузях знань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“Архітектура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будівництво”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“Цивільна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безпека”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(за спеціальн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остями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“Цивільна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безпека”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“Пожежна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безпека”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0320F3" w:rsidRDefault="00663D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– операторів (чергових) - (не менш ніж 3 особи), які пройшли спеціальне навчання та склали іспит за програмою з таких видів робот та послуг як спостерігання за системами протипожежного захисту.</w:t>
      </w:r>
    </w:p>
    <w:p w:rsidR="000320F3" w:rsidRDefault="000320F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Учасники на в</w:t>
      </w:r>
      <w:r>
        <w:rPr>
          <w:rFonts w:ascii="Times New Roman" w:hAnsi="Times New Roman"/>
          <w:sz w:val="24"/>
          <w:szCs w:val="24"/>
          <w:lang w:val="uk-UA" w:eastAsia="uk-UA"/>
        </w:rPr>
        <w:t>иконання технічного завдання мають надати окрім документів, визначених цим додатком, договірну ціну, локальний кошторис та відомість ресурсів до договірної ціни, а також дефектний акт.</w:t>
      </w:r>
    </w:p>
    <w:p w:rsidR="000320F3" w:rsidRDefault="000320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Кошторисна документація повинна бути складена відповідно до кошторисни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х норм (настанови) затверджених наказом № 281 від 01.11.2021 Міністерства розвитку громад та територій України та містити відомості щодо вартості окремих етапів (розділів) та єдину (зведену) договірну ціну. З метою якісного виконання цього пункту Учасник 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ає підтвердити наявність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нього в штаті або за договором інженера-проектувальника та надати кваліфікаційний сертифікат та діючий страховий поліс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цивільно-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правової відповідальності на нього. </w:t>
      </w:r>
    </w:p>
    <w:p w:rsidR="000320F3" w:rsidRDefault="000320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320F3" w:rsidRDefault="00663D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При залученні субпідрядних організацій, вищевказані розрахунк</w:t>
      </w:r>
      <w:r>
        <w:rPr>
          <w:rFonts w:ascii="Times New Roman" w:hAnsi="Times New Roman"/>
          <w:sz w:val="24"/>
          <w:szCs w:val="24"/>
          <w:lang w:val="uk-UA" w:eastAsia="uk-UA"/>
        </w:rPr>
        <w:t>и є обов’язковими додатками при формуванні вартості послуг субпідрядних організацій у складі договірної ціни.</w:t>
      </w:r>
    </w:p>
    <w:p w:rsidR="000320F3" w:rsidRDefault="000320F3">
      <w:pPr>
        <w:rPr>
          <w:lang w:val="uk-UA"/>
        </w:rPr>
      </w:pPr>
    </w:p>
    <w:sectPr w:rsidR="000320F3" w:rsidSect="000320F3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65" w:rsidRDefault="00663D65">
      <w:pPr>
        <w:spacing w:after="0" w:line="240" w:lineRule="auto"/>
      </w:pPr>
      <w:r>
        <w:separator/>
      </w:r>
    </w:p>
  </w:endnote>
  <w:endnote w:type="continuationSeparator" w:id="0">
    <w:p w:rsidR="00663D65" w:rsidRDefault="0066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65" w:rsidRDefault="00663D65">
      <w:pPr>
        <w:spacing w:after="0" w:line="240" w:lineRule="auto"/>
      </w:pPr>
      <w:r>
        <w:separator/>
      </w:r>
    </w:p>
  </w:footnote>
  <w:footnote w:type="continuationSeparator" w:id="0">
    <w:p w:rsidR="00663D65" w:rsidRDefault="00663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0F3"/>
    <w:rsid w:val="000320F3"/>
    <w:rsid w:val="00663D65"/>
    <w:rsid w:val="00B3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F3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320F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320F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320F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320F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320F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320F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320F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320F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320F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320F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20F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320F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20F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320F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20F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320F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20F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20F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320F3"/>
  </w:style>
  <w:style w:type="paragraph" w:styleId="a4">
    <w:name w:val="Title"/>
    <w:basedOn w:val="a"/>
    <w:next w:val="a"/>
    <w:link w:val="a5"/>
    <w:uiPriority w:val="10"/>
    <w:qFormat/>
    <w:rsid w:val="000320F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320F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20F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20F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20F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20F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320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320F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320F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320F3"/>
  </w:style>
  <w:style w:type="paragraph" w:customStyle="1" w:styleId="Footer">
    <w:name w:val="Footer"/>
    <w:basedOn w:val="a"/>
    <w:link w:val="CaptionChar"/>
    <w:uiPriority w:val="99"/>
    <w:unhideWhenUsed/>
    <w:rsid w:val="000320F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320F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320F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320F3"/>
  </w:style>
  <w:style w:type="table" w:styleId="aa">
    <w:name w:val="Table Grid"/>
    <w:basedOn w:val="a1"/>
    <w:uiPriority w:val="59"/>
    <w:rsid w:val="00032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320F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20F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320F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20F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20F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20F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20F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20F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20F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20F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20F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20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20F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20F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20F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20F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20F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20F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20F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20F3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20F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320F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320F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0320F3"/>
    <w:rPr>
      <w:sz w:val="18"/>
    </w:rPr>
  </w:style>
  <w:style w:type="character" w:styleId="ae">
    <w:name w:val="footnote reference"/>
    <w:basedOn w:val="a0"/>
    <w:uiPriority w:val="99"/>
    <w:unhideWhenUsed/>
    <w:rsid w:val="000320F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320F3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320F3"/>
    <w:rPr>
      <w:sz w:val="20"/>
    </w:rPr>
  </w:style>
  <w:style w:type="character" w:styleId="af1">
    <w:name w:val="endnote reference"/>
    <w:basedOn w:val="a0"/>
    <w:uiPriority w:val="99"/>
    <w:semiHidden/>
    <w:unhideWhenUsed/>
    <w:rsid w:val="000320F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320F3"/>
    <w:pPr>
      <w:spacing w:after="57"/>
    </w:pPr>
  </w:style>
  <w:style w:type="paragraph" w:styleId="21">
    <w:name w:val="toc 2"/>
    <w:basedOn w:val="a"/>
    <w:next w:val="a"/>
    <w:uiPriority w:val="39"/>
    <w:unhideWhenUsed/>
    <w:rsid w:val="000320F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20F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20F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20F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20F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20F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20F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20F3"/>
    <w:pPr>
      <w:spacing w:after="57"/>
      <w:ind w:left="2268"/>
    </w:pPr>
  </w:style>
  <w:style w:type="paragraph" w:styleId="af2">
    <w:name w:val="TOC Heading"/>
    <w:uiPriority w:val="39"/>
    <w:unhideWhenUsed/>
    <w:rsid w:val="000320F3"/>
  </w:style>
  <w:style w:type="paragraph" w:styleId="af3">
    <w:name w:val="table of figures"/>
    <w:basedOn w:val="a"/>
    <w:next w:val="a"/>
    <w:uiPriority w:val="99"/>
    <w:unhideWhenUsed/>
    <w:rsid w:val="000320F3"/>
    <w:pPr>
      <w:spacing w:after="0"/>
    </w:pPr>
  </w:style>
  <w:style w:type="paragraph" w:customStyle="1" w:styleId="Standard">
    <w:name w:val="Standard"/>
    <w:rsid w:val="000320F3"/>
    <w:pPr>
      <w:spacing w:after="160"/>
      <w:ind w:firstLine="0"/>
      <w:jc w:val="left"/>
    </w:pPr>
    <w:rPr>
      <w:rFonts w:ascii="Calibri" w:eastAsia="SimSun" w:hAnsi="Calibri" w:cs="Tahoma"/>
    </w:rPr>
  </w:style>
  <w:style w:type="paragraph" w:styleId="af4">
    <w:name w:val="List Paragraph"/>
    <w:basedOn w:val="a"/>
    <w:link w:val="af5"/>
    <w:uiPriority w:val="34"/>
    <w:qFormat/>
    <w:rsid w:val="000320F3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qFormat/>
    <w:rsid w:val="000320F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5449</Words>
  <Characters>3107</Characters>
  <Application>Microsoft Office Word</Application>
  <DocSecurity>0</DocSecurity>
  <Lines>25</Lines>
  <Paragraphs>17</Paragraphs>
  <ScaleCrop>false</ScaleCrop>
  <Company>SPecialiST RePack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7</cp:revision>
  <dcterms:created xsi:type="dcterms:W3CDTF">2023-06-19T10:56:00Z</dcterms:created>
  <dcterms:modified xsi:type="dcterms:W3CDTF">2023-11-10T17:50:00Z</dcterms:modified>
</cp:coreProperties>
</file>