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3F" w:rsidRDefault="008B563F" w:rsidP="006737D3">
      <w:pPr>
        <w:widowControl w:val="0"/>
        <w:shd w:val="clear" w:color="auto" w:fill="FFFFFF"/>
        <w:tabs>
          <w:tab w:val="left" w:pos="3465"/>
          <w:tab w:val="center" w:pos="4677"/>
        </w:tabs>
        <w:adjustRightInd w:val="0"/>
        <w:jc w:val="right"/>
        <w:rPr>
          <w:i/>
        </w:rPr>
      </w:pPr>
      <w:r>
        <w:rPr>
          <w:i/>
        </w:rPr>
        <w:t>Додаток 3 до тендерної документації</w:t>
      </w:r>
    </w:p>
    <w:p w:rsidR="005A6C46" w:rsidRDefault="008B563F" w:rsidP="008B563F">
      <w:pPr>
        <w:widowControl w:val="0"/>
        <w:shd w:val="clear" w:color="auto" w:fill="FFFFFF"/>
        <w:tabs>
          <w:tab w:val="left" w:pos="3465"/>
          <w:tab w:val="center" w:pos="4677"/>
        </w:tabs>
        <w:adjustRightInd w:val="0"/>
        <w:jc w:val="center"/>
        <w:rPr>
          <w:i/>
        </w:rPr>
      </w:pPr>
      <w:r>
        <w:rPr>
          <w:i/>
        </w:rPr>
        <w:t xml:space="preserve">                                                                                                       </w:t>
      </w:r>
      <w:proofErr w:type="spellStart"/>
      <w:r w:rsidR="00234CBF">
        <w:rPr>
          <w:i/>
        </w:rPr>
        <w:t>Проєкт</w:t>
      </w:r>
      <w:proofErr w:type="spellEnd"/>
      <w:r w:rsidR="00234CBF">
        <w:rPr>
          <w:i/>
        </w:rPr>
        <w:t xml:space="preserve"> договору</w:t>
      </w:r>
    </w:p>
    <w:p w:rsidR="008B563F" w:rsidRPr="006737D3" w:rsidRDefault="008B563F" w:rsidP="006737D3">
      <w:pPr>
        <w:widowControl w:val="0"/>
        <w:shd w:val="clear" w:color="auto" w:fill="FFFFFF"/>
        <w:tabs>
          <w:tab w:val="left" w:pos="3465"/>
          <w:tab w:val="center" w:pos="4677"/>
        </w:tabs>
        <w:adjustRightInd w:val="0"/>
        <w:jc w:val="right"/>
        <w:rPr>
          <w:i/>
        </w:rPr>
      </w:pP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207B09">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8B563F">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AF0B35">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AF0B35">
        <w:rPr>
          <w:b/>
          <w:color w:val="00000A"/>
          <w:lang w:eastAsia="zh-CN"/>
        </w:rPr>
        <w:t xml:space="preserve"> </w:t>
      </w:r>
      <w:r w:rsidR="00AF0B35" w:rsidRPr="00AF0B35">
        <w:rPr>
          <w:b/>
          <w:color w:val="00000A"/>
          <w:lang w:eastAsia="zh-CN"/>
        </w:rPr>
        <w:t>33120000-7 – Системи реєстрації медичної інф</w:t>
      </w:r>
      <w:r w:rsidR="00AF0B35">
        <w:rPr>
          <w:b/>
          <w:color w:val="00000A"/>
          <w:lang w:eastAsia="zh-CN"/>
        </w:rPr>
        <w:t xml:space="preserve">ормації та дослідне обладнання </w:t>
      </w:r>
      <w:bookmarkStart w:id="0" w:name="_GoBack"/>
      <w:bookmarkEnd w:id="0"/>
      <w:r w:rsidR="00AF0B35" w:rsidRPr="00AF0B35">
        <w:rPr>
          <w:b/>
          <w:color w:val="00000A"/>
          <w:lang w:eastAsia="zh-CN"/>
        </w:rPr>
        <w:t xml:space="preserve">(Програмно-апаратний комплекс для телеметрії та </w:t>
      </w:r>
      <w:proofErr w:type="spellStart"/>
      <w:r w:rsidR="00AF0B35" w:rsidRPr="00AF0B35">
        <w:rPr>
          <w:b/>
          <w:color w:val="00000A"/>
          <w:lang w:eastAsia="zh-CN"/>
        </w:rPr>
        <w:t>телемедичного</w:t>
      </w:r>
      <w:proofErr w:type="spellEnd"/>
      <w:r w:rsidR="00AF0B35" w:rsidRPr="00AF0B35">
        <w:rPr>
          <w:b/>
          <w:color w:val="00000A"/>
          <w:lang w:eastAsia="zh-CN"/>
        </w:rPr>
        <w:t xml:space="preserve"> консультування (НК 024:2023 35953 Діагностична </w:t>
      </w:r>
      <w:proofErr w:type="spellStart"/>
      <w:r w:rsidR="00AF0B35" w:rsidRPr="00AF0B35">
        <w:rPr>
          <w:b/>
          <w:color w:val="00000A"/>
          <w:lang w:eastAsia="zh-CN"/>
        </w:rPr>
        <w:t>т</w:t>
      </w:r>
      <w:r w:rsidR="00AF0B35">
        <w:rPr>
          <w:b/>
          <w:color w:val="00000A"/>
          <w:lang w:eastAsia="zh-CN"/>
        </w:rPr>
        <w:t>елемедична</w:t>
      </w:r>
      <w:proofErr w:type="spellEnd"/>
      <w:r w:rsidR="00AF0B35">
        <w:rPr>
          <w:b/>
          <w:color w:val="00000A"/>
          <w:lang w:eastAsia="zh-CN"/>
        </w:rPr>
        <w:t xml:space="preserve"> система візуалізації</w:t>
      </w:r>
      <w:r w:rsidR="002A626A" w:rsidRPr="002A626A">
        <w:rPr>
          <w:b/>
          <w:lang w:eastAsia="en-US"/>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787096" w:rsidRPr="00787096">
        <w:rPr>
          <w:bCs/>
        </w:rPr>
        <w:t xml:space="preserve"> </w:t>
      </w:r>
    </w:p>
    <w:p w:rsidR="008A583E" w:rsidRPr="00787096" w:rsidRDefault="00787096" w:rsidP="00F47669">
      <w:pPr>
        <w:widowControl w:val="0"/>
        <w:ind w:firstLine="567"/>
        <w:jc w:val="both"/>
        <w:rPr>
          <w:bCs/>
        </w:rPr>
      </w:pPr>
      <w:r w:rsidRPr="00787096">
        <w:rPr>
          <w:bCs/>
        </w:rPr>
        <w:t>Га</w:t>
      </w:r>
      <w:r w:rsidR="008B563F">
        <w:rPr>
          <w:bCs/>
        </w:rPr>
        <w:t>рантійне обслуговування Товару 12 місяців з дня вводу в експлуатацію</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w:t>
      </w:r>
      <w:r w:rsidRPr="00F47669">
        <w:rPr>
          <w:lang w:eastAsia="en-US"/>
        </w:rPr>
        <w:lastRenderedPageBreak/>
        <w:t xml:space="preserve">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676A2D">
        <w:rPr>
          <w:lang w:eastAsia="en-US"/>
        </w:rPr>
        <w:t xml:space="preserve">укладання договору до </w:t>
      </w:r>
      <w:r w:rsidR="002A626A" w:rsidRPr="00B0291A">
        <w:rPr>
          <w:b/>
          <w:lang w:eastAsia="en-US"/>
        </w:rPr>
        <w:t>31.12</w:t>
      </w:r>
      <w:r w:rsidR="00B0291A">
        <w:rPr>
          <w:lang w:eastAsia="en-US"/>
        </w:rPr>
        <w:t>.</w:t>
      </w:r>
      <w:r w:rsidR="006737D3">
        <w:rPr>
          <w:b/>
          <w:spacing w:val="-1"/>
        </w:rPr>
        <w:t>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w:t>
      </w:r>
      <w:r w:rsidRPr="00F47669">
        <w:rPr>
          <w:lang w:eastAsia="en-US"/>
        </w:rPr>
        <w:lastRenderedPageBreak/>
        <w:t>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lastRenderedPageBreak/>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lastRenderedPageBreak/>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xml:space="preserve">, або коли при </w:t>
      </w:r>
      <w:r w:rsidRPr="00F47669">
        <w:lastRenderedPageBreak/>
        <w:t>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 xml:space="preserve">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w:t>
      </w:r>
      <w:r w:rsidRPr="00F47669">
        <w:lastRenderedPageBreak/>
        <w:t>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lastRenderedPageBreak/>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2A626A" w:rsidRPr="002A626A" w:rsidRDefault="000F02E9" w:rsidP="002A626A">
      <w:pPr>
        <w:pStyle w:val="a8"/>
        <w:widowControl w:val="0"/>
        <w:spacing w:after="0"/>
        <w:ind w:left="0" w:firstLine="567"/>
        <w:jc w:val="both"/>
        <w:rPr>
          <w:rFonts w:eastAsia="Calibri"/>
          <w:lang w:eastAsia="en-US"/>
        </w:rPr>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2A626A">
        <w:t xml:space="preserve"> </w:t>
      </w:r>
      <w:r w:rsidR="002A626A" w:rsidRPr="002A626A">
        <w:rPr>
          <w:rFonts w:eastAsia="Calibri"/>
          <w:lang w:eastAsia="en-US"/>
        </w:rPr>
        <w:t xml:space="preserve"> визначених пунктом 19 Особливостей, а саме:</w:t>
      </w:r>
    </w:p>
    <w:p w:rsidR="002A626A" w:rsidRPr="002A626A" w:rsidRDefault="002A626A" w:rsidP="002A626A">
      <w:pPr>
        <w:autoSpaceDE/>
        <w:autoSpaceDN/>
        <w:spacing w:after="160" w:line="259" w:lineRule="auto"/>
        <w:contextualSpacing/>
        <w:jc w:val="both"/>
        <w:rPr>
          <w:rFonts w:eastAsia="Calibri"/>
          <w:lang w:eastAsia="en-US"/>
        </w:rPr>
      </w:pPr>
      <w:r w:rsidRPr="002A626A">
        <w:rPr>
          <w:rFonts w:eastAsia="Calibri"/>
          <w:lang w:eastAsia="en-US"/>
        </w:rPr>
        <w:t>1) зменшення обсягів закупівлі, зокрема з урахуванням фактичного обсягу видатків замовника;</w:t>
      </w:r>
    </w:p>
    <w:p w:rsidR="002A626A" w:rsidRPr="002A626A" w:rsidRDefault="002A626A" w:rsidP="002A626A">
      <w:pPr>
        <w:autoSpaceDE/>
        <w:autoSpaceDN/>
        <w:spacing w:after="160" w:line="259" w:lineRule="auto"/>
        <w:contextualSpacing/>
        <w:jc w:val="both"/>
        <w:rPr>
          <w:rFonts w:eastAsia="Calibri"/>
          <w:lang w:eastAsia="en-US"/>
        </w:rPr>
      </w:pPr>
      <w:r w:rsidRPr="002A626A">
        <w:rPr>
          <w:rFonts w:eastAsia="Calibri"/>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A626A">
        <w:rPr>
          <w:rFonts w:eastAsia="Calibri"/>
          <w:lang w:eastAsia="en-US"/>
        </w:rPr>
        <w:t>пропорційно</w:t>
      </w:r>
      <w:proofErr w:type="spellEnd"/>
      <w:r w:rsidRPr="002A626A">
        <w:rPr>
          <w:rFonts w:eastAsia="Calibri"/>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2A626A" w:rsidRPr="002A626A" w:rsidRDefault="002A626A" w:rsidP="002A626A">
      <w:pPr>
        <w:numPr>
          <w:ilvl w:val="0"/>
          <w:numId w:val="33"/>
        </w:numPr>
        <w:autoSpaceDE/>
        <w:autoSpaceDN/>
        <w:spacing w:after="160" w:line="259" w:lineRule="auto"/>
        <w:contextualSpacing/>
        <w:jc w:val="both"/>
        <w:rPr>
          <w:rFonts w:eastAsia="Calibri"/>
          <w:lang w:eastAsia="en-US"/>
        </w:rPr>
      </w:pPr>
      <w:r w:rsidRPr="002A626A">
        <w:rPr>
          <w:rFonts w:eastAsia="Calibri"/>
          <w:lang w:eastAsia="en-US"/>
        </w:rPr>
        <w:t>підставою для зміни ціни є письмове звернення Сторони Договору та коливання ціни на ринку;</w:t>
      </w:r>
    </w:p>
    <w:p w:rsidR="002A626A" w:rsidRPr="002A626A" w:rsidRDefault="002A626A" w:rsidP="002A626A">
      <w:pPr>
        <w:numPr>
          <w:ilvl w:val="0"/>
          <w:numId w:val="33"/>
        </w:numPr>
        <w:autoSpaceDE/>
        <w:autoSpaceDN/>
        <w:spacing w:after="160" w:line="259" w:lineRule="auto"/>
        <w:contextualSpacing/>
        <w:jc w:val="both"/>
        <w:rPr>
          <w:rFonts w:eastAsia="Calibri"/>
          <w:lang w:eastAsia="en-US"/>
        </w:rPr>
      </w:pPr>
      <w:r w:rsidRPr="002A626A">
        <w:rPr>
          <w:rFonts w:eastAsia="Calibri"/>
          <w:lang w:eastAsia="en-US"/>
        </w:rPr>
        <w:t xml:space="preserve">Сторони погоджуються, що збільшення ціни за одиницю товару відбувається </w:t>
      </w:r>
      <w:proofErr w:type="spellStart"/>
      <w:r w:rsidRPr="002A626A">
        <w:rPr>
          <w:rFonts w:eastAsia="Calibri"/>
          <w:lang w:eastAsia="en-US"/>
        </w:rPr>
        <w:t>пропорційно</w:t>
      </w:r>
      <w:proofErr w:type="spellEnd"/>
      <w:r w:rsidRPr="002A626A">
        <w:rPr>
          <w:rFonts w:eastAsia="Calibri"/>
          <w:lang w:eastAsia="en-US"/>
        </w:rPr>
        <w:t xml:space="preserve"> коливанню цін на ринку, але не може перевищувати відсоток коливання (збільшення) ціни такого товару на ринку;</w:t>
      </w:r>
    </w:p>
    <w:p w:rsidR="002A626A" w:rsidRPr="002A626A" w:rsidRDefault="002A626A" w:rsidP="002A626A">
      <w:pPr>
        <w:numPr>
          <w:ilvl w:val="0"/>
          <w:numId w:val="33"/>
        </w:numPr>
        <w:autoSpaceDE/>
        <w:autoSpaceDN/>
        <w:spacing w:after="160" w:line="259" w:lineRule="auto"/>
        <w:contextualSpacing/>
        <w:jc w:val="both"/>
        <w:rPr>
          <w:rFonts w:eastAsia="Calibri"/>
          <w:lang w:eastAsia="en-US"/>
        </w:rPr>
      </w:pPr>
      <w:r w:rsidRPr="002A626A">
        <w:rPr>
          <w:rFonts w:eastAsia="Calibri"/>
          <w:lang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A626A" w:rsidRPr="002A626A" w:rsidRDefault="002A626A" w:rsidP="002A626A">
      <w:pPr>
        <w:numPr>
          <w:ilvl w:val="0"/>
          <w:numId w:val="33"/>
        </w:numPr>
        <w:autoSpaceDE/>
        <w:autoSpaceDN/>
        <w:spacing w:after="160" w:line="259" w:lineRule="auto"/>
        <w:contextualSpacing/>
        <w:jc w:val="both"/>
        <w:rPr>
          <w:rFonts w:eastAsia="Calibri"/>
          <w:lang w:eastAsia="en-US"/>
        </w:rPr>
      </w:pPr>
      <w:r w:rsidRPr="002A626A">
        <w:rPr>
          <w:rFonts w:eastAsia="Calibri"/>
          <w:lang w:eastAsia="en-US"/>
        </w:rPr>
        <w:t>Сторони погоджуються, що жоден документ, який підтверджує коливання ціни на ринку не може містити один і той самий період;</w:t>
      </w:r>
    </w:p>
    <w:p w:rsidR="002A626A" w:rsidRPr="002A626A" w:rsidRDefault="002A626A" w:rsidP="002A626A">
      <w:pPr>
        <w:numPr>
          <w:ilvl w:val="0"/>
          <w:numId w:val="33"/>
        </w:numPr>
        <w:autoSpaceDE/>
        <w:autoSpaceDN/>
        <w:spacing w:after="160" w:line="259" w:lineRule="auto"/>
        <w:contextualSpacing/>
        <w:jc w:val="both"/>
        <w:rPr>
          <w:rFonts w:eastAsia="Calibri"/>
          <w:lang w:eastAsia="en-US"/>
        </w:rPr>
      </w:pPr>
      <w:r w:rsidRPr="002A626A">
        <w:rPr>
          <w:rFonts w:eastAsia="Calibri"/>
          <w:lang w:eastAsia="en-US"/>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2A626A">
        <w:rPr>
          <w:rFonts w:eastAsia="Calibri"/>
          <w:lang w:eastAsia="en-US"/>
        </w:rPr>
        <w:t>Зовнішінформ</w:t>
      </w:r>
      <w:proofErr w:type="spellEnd"/>
      <w:r w:rsidRPr="002A626A">
        <w:rPr>
          <w:rFonts w:eastAsia="Calibri"/>
          <w:lang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2A626A" w:rsidRPr="002A626A" w:rsidRDefault="002A626A" w:rsidP="002A626A">
      <w:pPr>
        <w:numPr>
          <w:ilvl w:val="0"/>
          <w:numId w:val="33"/>
        </w:numPr>
        <w:autoSpaceDE/>
        <w:autoSpaceDN/>
        <w:spacing w:after="160" w:line="259" w:lineRule="auto"/>
        <w:contextualSpacing/>
        <w:jc w:val="both"/>
        <w:rPr>
          <w:rFonts w:eastAsia="Calibri"/>
          <w:lang w:eastAsia="en-US"/>
        </w:rPr>
      </w:pPr>
      <w:r w:rsidRPr="002A626A">
        <w:rPr>
          <w:rFonts w:eastAsia="Calibri"/>
          <w:lang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A626A" w:rsidRPr="002A626A" w:rsidRDefault="002A626A" w:rsidP="002A626A">
      <w:pPr>
        <w:numPr>
          <w:ilvl w:val="0"/>
          <w:numId w:val="33"/>
        </w:numPr>
        <w:autoSpaceDE/>
        <w:autoSpaceDN/>
        <w:spacing w:after="160" w:line="259" w:lineRule="auto"/>
        <w:contextualSpacing/>
        <w:jc w:val="both"/>
        <w:rPr>
          <w:rFonts w:eastAsia="Calibri"/>
          <w:lang w:eastAsia="en-US"/>
        </w:rPr>
      </w:pPr>
      <w:r w:rsidRPr="002A626A">
        <w:rPr>
          <w:rFonts w:eastAsia="Calibri"/>
          <w:lang w:eastAsia="en-US"/>
        </w:rPr>
        <w:t>результат порівняння цін у відсотковому вираженні.</w:t>
      </w:r>
    </w:p>
    <w:p w:rsidR="002A626A" w:rsidRPr="002A626A" w:rsidRDefault="002A626A" w:rsidP="002A626A">
      <w:pPr>
        <w:autoSpaceDE/>
        <w:autoSpaceDN/>
        <w:spacing w:after="160" w:line="259" w:lineRule="auto"/>
        <w:contextualSpacing/>
        <w:jc w:val="both"/>
        <w:rPr>
          <w:rFonts w:eastAsia="Calibri"/>
          <w:lang w:eastAsia="en-US"/>
        </w:rPr>
      </w:pPr>
      <w:r w:rsidRPr="002A626A">
        <w:rPr>
          <w:rFonts w:eastAsia="Calibri"/>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2A626A" w:rsidRPr="002A626A" w:rsidRDefault="002A626A" w:rsidP="002A626A">
      <w:pPr>
        <w:autoSpaceDE/>
        <w:autoSpaceDN/>
        <w:spacing w:after="160" w:line="259" w:lineRule="auto"/>
        <w:contextualSpacing/>
        <w:jc w:val="both"/>
        <w:rPr>
          <w:rFonts w:eastAsia="Calibri"/>
          <w:lang w:eastAsia="en-US"/>
        </w:rPr>
      </w:pPr>
      <w:r w:rsidRPr="002A626A">
        <w:rPr>
          <w:rFonts w:eastAsia="Calibri"/>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w:t>
      </w:r>
      <w:r w:rsidRPr="002A626A">
        <w:rPr>
          <w:rFonts w:eastAsia="Calibri"/>
          <w:lang w:eastAsia="en-US"/>
        </w:rPr>
        <w:lastRenderedPageBreak/>
        <w:t>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A626A" w:rsidRPr="002A626A" w:rsidRDefault="002A626A" w:rsidP="002A626A">
      <w:pPr>
        <w:autoSpaceDE/>
        <w:autoSpaceDN/>
        <w:spacing w:after="160" w:line="259" w:lineRule="auto"/>
        <w:contextualSpacing/>
        <w:jc w:val="both"/>
        <w:rPr>
          <w:rFonts w:eastAsia="Calibri"/>
          <w:lang w:eastAsia="en-US"/>
        </w:rPr>
      </w:pPr>
      <w:r w:rsidRPr="002A626A">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A626A" w:rsidRPr="002A626A" w:rsidRDefault="002A626A" w:rsidP="002A626A">
      <w:pPr>
        <w:autoSpaceDE/>
        <w:autoSpaceDN/>
        <w:spacing w:after="160" w:line="259" w:lineRule="auto"/>
        <w:contextualSpacing/>
        <w:jc w:val="both"/>
        <w:rPr>
          <w:rFonts w:eastAsia="Calibri"/>
          <w:lang w:eastAsia="en-US"/>
        </w:rPr>
      </w:pPr>
      <w:r w:rsidRPr="002A626A">
        <w:rPr>
          <w:rFonts w:eastAsia="Calibri"/>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A626A">
        <w:rPr>
          <w:rFonts w:eastAsia="Calibri"/>
          <w:lang w:eastAsia="en-US"/>
        </w:rPr>
        <w:t>пропорційно</w:t>
      </w:r>
      <w:proofErr w:type="spellEnd"/>
      <w:r w:rsidRPr="002A626A">
        <w:rPr>
          <w:rFonts w:eastAsia="Calibri"/>
          <w:lang w:eastAsia="en-US"/>
        </w:rPr>
        <w:t xml:space="preserve"> до зміни таких ставок та/або пільг з оподаткування, а також у зв’язку із зміною системи оподаткування </w:t>
      </w:r>
      <w:proofErr w:type="spellStart"/>
      <w:r w:rsidRPr="002A626A">
        <w:rPr>
          <w:rFonts w:eastAsia="Calibri"/>
          <w:lang w:eastAsia="en-US"/>
        </w:rPr>
        <w:t>пропорційно</w:t>
      </w:r>
      <w:proofErr w:type="spellEnd"/>
      <w:r w:rsidRPr="002A626A">
        <w:rPr>
          <w:rFonts w:eastAsia="Calibri"/>
          <w:lang w:eastAsia="en-US"/>
        </w:rPr>
        <w:t xml:space="preserve"> до зміни податкового навантаження внаслідок зміни системи оподаткування;</w:t>
      </w:r>
    </w:p>
    <w:p w:rsidR="002A626A" w:rsidRPr="002A626A" w:rsidRDefault="002A626A" w:rsidP="002A626A">
      <w:pPr>
        <w:autoSpaceDE/>
        <w:autoSpaceDN/>
        <w:spacing w:after="160" w:line="259" w:lineRule="auto"/>
        <w:contextualSpacing/>
        <w:jc w:val="both"/>
        <w:rPr>
          <w:rFonts w:eastAsia="Calibri"/>
          <w:lang w:eastAsia="en-US"/>
        </w:rPr>
      </w:pPr>
      <w:r w:rsidRPr="002A626A">
        <w:rPr>
          <w:rFonts w:eastAsia="Calibri"/>
          <w:lang w:eastAsia="en-US"/>
        </w:rPr>
        <w:t>У цьому випадку Сторони погоджуються, що зміну ціни здійснюють у такому порядку:</w:t>
      </w:r>
    </w:p>
    <w:p w:rsidR="002A626A" w:rsidRPr="002A626A" w:rsidRDefault="002A626A" w:rsidP="002A626A">
      <w:pPr>
        <w:numPr>
          <w:ilvl w:val="0"/>
          <w:numId w:val="34"/>
        </w:numPr>
        <w:autoSpaceDE/>
        <w:autoSpaceDN/>
        <w:spacing w:after="160" w:line="259" w:lineRule="auto"/>
        <w:contextualSpacing/>
        <w:jc w:val="both"/>
        <w:rPr>
          <w:rFonts w:eastAsia="Calibri"/>
          <w:lang w:eastAsia="en-US"/>
        </w:rPr>
      </w:pPr>
      <w:r w:rsidRPr="002A626A">
        <w:rPr>
          <w:rFonts w:eastAsia="Calibri"/>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A626A" w:rsidRPr="002A626A" w:rsidRDefault="002A626A" w:rsidP="002A626A">
      <w:pPr>
        <w:numPr>
          <w:ilvl w:val="0"/>
          <w:numId w:val="34"/>
        </w:numPr>
        <w:autoSpaceDE/>
        <w:autoSpaceDN/>
        <w:spacing w:after="160" w:line="259" w:lineRule="auto"/>
        <w:contextualSpacing/>
        <w:jc w:val="both"/>
        <w:rPr>
          <w:rFonts w:eastAsia="Calibri"/>
          <w:lang w:eastAsia="en-US"/>
        </w:rPr>
      </w:pPr>
      <w:r w:rsidRPr="002A626A">
        <w:rPr>
          <w:rFonts w:eastAsia="Calibri"/>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A626A" w:rsidRPr="002A626A" w:rsidRDefault="002A626A" w:rsidP="002A626A">
      <w:pPr>
        <w:numPr>
          <w:ilvl w:val="0"/>
          <w:numId w:val="34"/>
        </w:numPr>
        <w:autoSpaceDE/>
        <w:autoSpaceDN/>
        <w:spacing w:after="160" w:line="259" w:lineRule="auto"/>
        <w:contextualSpacing/>
        <w:jc w:val="both"/>
        <w:rPr>
          <w:rFonts w:eastAsia="Calibri"/>
          <w:lang w:eastAsia="en-US"/>
        </w:rPr>
      </w:pPr>
      <w:r w:rsidRPr="002A626A">
        <w:rPr>
          <w:rFonts w:eastAsia="Calibri"/>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2A626A" w:rsidRPr="002A626A" w:rsidRDefault="002A626A" w:rsidP="002A626A">
      <w:pPr>
        <w:numPr>
          <w:ilvl w:val="0"/>
          <w:numId w:val="34"/>
        </w:numPr>
        <w:autoSpaceDE/>
        <w:autoSpaceDN/>
        <w:spacing w:after="160" w:line="259" w:lineRule="auto"/>
        <w:contextualSpacing/>
        <w:jc w:val="both"/>
        <w:rPr>
          <w:rFonts w:eastAsia="Calibri"/>
          <w:lang w:eastAsia="en-US"/>
        </w:rPr>
      </w:pPr>
      <w:r w:rsidRPr="002A626A">
        <w:rPr>
          <w:rFonts w:eastAsia="Calibri"/>
          <w:lang w:eastAsia="en-US"/>
        </w:rPr>
        <w:t xml:space="preserve">зміна ціни відбувається </w:t>
      </w:r>
      <w:proofErr w:type="spellStart"/>
      <w:r w:rsidRPr="002A626A">
        <w:rPr>
          <w:rFonts w:eastAsia="Calibri"/>
          <w:lang w:eastAsia="en-US"/>
        </w:rPr>
        <w:t>пропорційно</w:t>
      </w:r>
      <w:proofErr w:type="spellEnd"/>
      <w:r w:rsidRPr="002A626A">
        <w:rPr>
          <w:rFonts w:eastAsia="Calibri"/>
          <w:lang w:eastAsia="en-US"/>
        </w:rPr>
        <w:t xml:space="preserve"> зміненій (зміненим) частині (частинам) складової такої ціни, в тому числі і загальна вартість Договору;</w:t>
      </w:r>
    </w:p>
    <w:p w:rsidR="002A626A" w:rsidRPr="002A626A" w:rsidRDefault="002A626A" w:rsidP="002A626A">
      <w:pPr>
        <w:autoSpaceDE/>
        <w:autoSpaceDN/>
        <w:spacing w:after="160" w:line="259" w:lineRule="auto"/>
        <w:contextualSpacing/>
        <w:jc w:val="both"/>
        <w:rPr>
          <w:rFonts w:eastAsia="Calibri"/>
          <w:lang w:eastAsia="en-US"/>
        </w:rPr>
      </w:pPr>
      <w:r w:rsidRPr="002A626A">
        <w:rPr>
          <w:rFonts w:eastAsia="Calibri"/>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626A">
        <w:rPr>
          <w:rFonts w:eastAsia="Calibri"/>
          <w:lang w:eastAsia="en-US"/>
        </w:rPr>
        <w:t>Platts</w:t>
      </w:r>
      <w:proofErr w:type="spellEnd"/>
      <w:r w:rsidRPr="002A626A">
        <w:rPr>
          <w:rFonts w:eastAsia="Calibri"/>
          <w:lang w:eastAsia="en-US"/>
        </w:rPr>
        <w:t>, ARGUS, регульованих цін (тарифів), нормативів.</w:t>
      </w:r>
    </w:p>
    <w:p w:rsidR="002A626A" w:rsidRPr="002A626A" w:rsidRDefault="002A626A" w:rsidP="002A626A">
      <w:pPr>
        <w:autoSpaceDE/>
        <w:autoSpaceDN/>
        <w:spacing w:after="160" w:line="259" w:lineRule="auto"/>
        <w:contextualSpacing/>
        <w:jc w:val="both"/>
        <w:rPr>
          <w:rFonts w:eastAsia="Calibri"/>
          <w:lang w:eastAsia="en-US"/>
        </w:rPr>
      </w:pPr>
      <w:r w:rsidRPr="002A626A">
        <w:rPr>
          <w:rFonts w:eastAsia="Calibri"/>
          <w:lang w:eastAsia="en-US"/>
        </w:rPr>
        <w:t>У цьому випадку Сторони погоджуються, що зміну ціни здійснюють у такому порядку:</w:t>
      </w:r>
    </w:p>
    <w:p w:rsidR="002A626A" w:rsidRPr="002A626A" w:rsidRDefault="002A626A" w:rsidP="002A626A">
      <w:pPr>
        <w:numPr>
          <w:ilvl w:val="0"/>
          <w:numId w:val="35"/>
        </w:numPr>
        <w:autoSpaceDE/>
        <w:autoSpaceDN/>
        <w:spacing w:after="160" w:line="259" w:lineRule="auto"/>
        <w:contextualSpacing/>
        <w:jc w:val="both"/>
        <w:rPr>
          <w:rFonts w:eastAsia="Calibri"/>
          <w:lang w:eastAsia="en-US"/>
        </w:rPr>
      </w:pPr>
      <w:r w:rsidRPr="002A626A">
        <w:rPr>
          <w:rFonts w:eastAsia="Calibri"/>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2A626A" w:rsidRPr="002A626A" w:rsidRDefault="002A626A" w:rsidP="002A626A">
      <w:pPr>
        <w:numPr>
          <w:ilvl w:val="0"/>
          <w:numId w:val="35"/>
        </w:numPr>
        <w:autoSpaceDE/>
        <w:autoSpaceDN/>
        <w:spacing w:after="160" w:line="259" w:lineRule="auto"/>
        <w:contextualSpacing/>
        <w:jc w:val="both"/>
        <w:rPr>
          <w:rFonts w:eastAsia="Calibri"/>
          <w:lang w:eastAsia="en-US"/>
        </w:rPr>
      </w:pPr>
      <w:r w:rsidRPr="002A626A">
        <w:rPr>
          <w:rFonts w:eastAsia="Calibri"/>
          <w:lang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626A">
        <w:rPr>
          <w:rFonts w:eastAsia="Calibri"/>
          <w:lang w:eastAsia="en-US"/>
        </w:rPr>
        <w:t>Platts</w:t>
      </w:r>
      <w:proofErr w:type="spellEnd"/>
      <w:r w:rsidRPr="002A626A">
        <w:rPr>
          <w:rFonts w:eastAsia="Calibri"/>
          <w:lang w:eastAsia="en-US"/>
        </w:rPr>
        <w:t>, ARGUS, регульованих цін (тарифів), нормативів.</w:t>
      </w:r>
    </w:p>
    <w:p w:rsidR="002A626A" w:rsidRPr="002A626A" w:rsidRDefault="002A626A" w:rsidP="002A626A">
      <w:pPr>
        <w:numPr>
          <w:ilvl w:val="0"/>
          <w:numId w:val="35"/>
        </w:numPr>
        <w:autoSpaceDE/>
        <w:autoSpaceDN/>
        <w:spacing w:after="160" w:line="259" w:lineRule="auto"/>
        <w:contextualSpacing/>
        <w:jc w:val="both"/>
        <w:rPr>
          <w:rFonts w:eastAsia="Calibri"/>
          <w:lang w:eastAsia="en-US"/>
        </w:rPr>
      </w:pPr>
      <w:r w:rsidRPr="002A626A">
        <w:rPr>
          <w:rFonts w:eastAsia="Calibri"/>
          <w:lang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626A">
        <w:rPr>
          <w:rFonts w:eastAsia="Calibri"/>
          <w:lang w:eastAsia="en-US"/>
        </w:rPr>
        <w:t>Platts</w:t>
      </w:r>
      <w:proofErr w:type="spellEnd"/>
      <w:r w:rsidRPr="002A626A">
        <w:rPr>
          <w:rFonts w:eastAsia="Calibri"/>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A626A" w:rsidRPr="002A626A" w:rsidRDefault="002A626A" w:rsidP="002A626A">
      <w:pPr>
        <w:autoSpaceDE/>
        <w:autoSpaceDN/>
        <w:spacing w:after="160" w:line="259" w:lineRule="auto"/>
        <w:contextualSpacing/>
        <w:jc w:val="both"/>
        <w:rPr>
          <w:rFonts w:eastAsia="Calibri"/>
          <w:lang w:eastAsia="en-US"/>
        </w:rPr>
      </w:pPr>
      <w:r w:rsidRPr="002A626A">
        <w:rPr>
          <w:rFonts w:eastAsia="Calibri"/>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lastRenderedPageBreak/>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2A626A">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2A626A" w:rsidRDefault="002A626A"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2A626A"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lastRenderedPageBreak/>
        <w:t>Специфікація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45" w:rsidRDefault="00336245" w:rsidP="00F5666D">
      <w:r>
        <w:separator/>
      </w:r>
    </w:p>
  </w:endnote>
  <w:endnote w:type="continuationSeparator" w:id="0">
    <w:p w:rsidR="00336245" w:rsidRDefault="00336245"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45" w:rsidRDefault="00336245" w:rsidP="00F5666D">
      <w:r>
        <w:separator/>
      </w:r>
    </w:p>
  </w:footnote>
  <w:footnote w:type="continuationSeparator" w:id="0">
    <w:p w:rsidR="00336245" w:rsidRDefault="00336245"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AF0B35" w:rsidRPr="00AF0B35">
          <w:rPr>
            <w:noProof/>
            <w:lang w:val="ru-RU"/>
          </w:rPr>
          <w:t>11</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21"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4"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30"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8"/>
  </w:num>
  <w:num w:numId="4">
    <w:abstractNumId w:val="23"/>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23"/>
  </w:num>
  <w:num w:numId="6">
    <w:abstractNumId w:val="5"/>
  </w:num>
  <w:num w:numId="7">
    <w:abstractNumId w:val="1"/>
  </w:num>
  <w:num w:numId="8">
    <w:abstractNumId w:val="22"/>
  </w:num>
  <w:num w:numId="9">
    <w:abstractNumId w:val="21"/>
  </w:num>
  <w:num w:numId="10">
    <w:abstractNumId w:val="14"/>
  </w:num>
  <w:num w:numId="11">
    <w:abstractNumId w:val="10"/>
  </w:num>
  <w:num w:numId="12">
    <w:abstractNumId w:val="32"/>
  </w:num>
  <w:num w:numId="13">
    <w:abstractNumId w:val="33"/>
  </w:num>
  <w:num w:numId="14">
    <w:abstractNumId w:val="25"/>
  </w:num>
  <w:num w:numId="15">
    <w:abstractNumId w:val="13"/>
  </w:num>
  <w:num w:numId="16">
    <w:abstractNumId w:val="2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
  </w:num>
  <w:num w:numId="20">
    <w:abstractNumId w:val="15"/>
  </w:num>
  <w:num w:numId="21">
    <w:abstractNumId w:val="20"/>
  </w:num>
  <w:num w:numId="22">
    <w:abstractNumId w:val="7"/>
  </w:num>
  <w:num w:numId="23">
    <w:abstractNumId w:val="17"/>
  </w:num>
  <w:num w:numId="24">
    <w:abstractNumId w:val="0"/>
  </w:num>
  <w:num w:numId="25">
    <w:abstractNumId w:val="4"/>
  </w:num>
  <w:num w:numId="26">
    <w:abstractNumId w:val="26"/>
  </w:num>
  <w:num w:numId="27">
    <w:abstractNumId w:val="6"/>
  </w:num>
  <w:num w:numId="28">
    <w:abstractNumId w:val="3"/>
  </w:num>
  <w:num w:numId="29">
    <w:abstractNumId w:val="18"/>
  </w:num>
  <w:num w:numId="30">
    <w:abstractNumId w:val="24"/>
  </w:num>
  <w:num w:numId="31">
    <w:abstractNumId w:val="12"/>
  </w:num>
  <w:num w:numId="32">
    <w:abstractNumId w:val="16"/>
  </w:num>
  <w:num w:numId="33">
    <w:abstractNumId w:val="11"/>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A626A"/>
    <w:rsid w:val="002B73C7"/>
    <w:rsid w:val="002E3A3A"/>
    <w:rsid w:val="002E62F6"/>
    <w:rsid w:val="002E6B7A"/>
    <w:rsid w:val="002E7C05"/>
    <w:rsid w:val="00326156"/>
    <w:rsid w:val="00334DF9"/>
    <w:rsid w:val="00336245"/>
    <w:rsid w:val="00377657"/>
    <w:rsid w:val="0037773D"/>
    <w:rsid w:val="00386913"/>
    <w:rsid w:val="003B0B23"/>
    <w:rsid w:val="003B70B4"/>
    <w:rsid w:val="003C2712"/>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B563F"/>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1545"/>
    <w:rsid w:val="009D2030"/>
    <w:rsid w:val="009F58DF"/>
    <w:rsid w:val="009F5B89"/>
    <w:rsid w:val="00A207CB"/>
    <w:rsid w:val="00A21B5B"/>
    <w:rsid w:val="00A23606"/>
    <w:rsid w:val="00A31A2A"/>
    <w:rsid w:val="00A355EE"/>
    <w:rsid w:val="00A511B9"/>
    <w:rsid w:val="00A71436"/>
    <w:rsid w:val="00AA026E"/>
    <w:rsid w:val="00AB238D"/>
    <w:rsid w:val="00AC3B25"/>
    <w:rsid w:val="00AD1B97"/>
    <w:rsid w:val="00AD3081"/>
    <w:rsid w:val="00AF0B35"/>
    <w:rsid w:val="00AF5F03"/>
    <w:rsid w:val="00B0291A"/>
    <w:rsid w:val="00B06859"/>
    <w:rsid w:val="00B575AB"/>
    <w:rsid w:val="00B575C1"/>
    <w:rsid w:val="00B616B0"/>
    <w:rsid w:val="00B67E60"/>
    <w:rsid w:val="00BC1BFA"/>
    <w:rsid w:val="00BD4A63"/>
    <w:rsid w:val="00BF6419"/>
    <w:rsid w:val="00BF7C7B"/>
    <w:rsid w:val="00C05692"/>
    <w:rsid w:val="00C17E74"/>
    <w:rsid w:val="00C24EC2"/>
    <w:rsid w:val="00C33AD2"/>
    <w:rsid w:val="00C60F5E"/>
    <w:rsid w:val="00C744AA"/>
    <w:rsid w:val="00CA7111"/>
    <w:rsid w:val="00CB238D"/>
    <w:rsid w:val="00CB3F3C"/>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592D-03D5-438F-832E-D536DC18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23974</Words>
  <Characters>13666</Characters>
  <Application>Microsoft Office Word</Application>
  <DocSecurity>0</DocSecurity>
  <Lines>113</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9</cp:revision>
  <cp:lastPrinted>2022-12-23T12:05:00Z</cp:lastPrinted>
  <dcterms:created xsi:type="dcterms:W3CDTF">2023-12-21T07:02:00Z</dcterms:created>
  <dcterms:modified xsi:type="dcterms:W3CDTF">2024-01-02T16:35:00Z</dcterms:modified>
</cp:coreProperties>
</file>