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642A3A46"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5C1CD6">
              <w:rPr>
                <w:rFonts w:ascii="Times New Roman" w:eastAsia="Times New Roman" w:hAnsi="Times New Roman" w:cs="Times New Roman"/>
                <w:sz w:val="24"/>
                <w:szCs w:val="24"/>
                <w:lang w:val="uk-UA" w:eastAsia="ru-RU"/>
              </w:rPr>
              <w:t>березня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70D29D24" w14:textId="77777777" w:rsidR="00E25A89" w:rsidRDefault="00E25A89" w:rsidP="00E25A89">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(із змінами згідно протокольного рішення Уповноваженої особи  № 03/_____-ВТ від ____.____________.2024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0567C243" w:rsidR="006B3332" w:rsidRPr="004A0536"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F901BC" w:rsidRPr="00D80DAC">
        <w:rPr>
          <w:rFonts w:ascii="Times New Roman" w:hAnsi="Times New Roman" w:cs="Times New Roman"/>
          <w:b/>
          <w:i/>
          <w:sz w:val="28"/>
          <w:szCs w:val="28"/>
          <w:u w:val="single"/>
          <w:lang w:eastAsia="ru-RU"/>
        </w:rPr>
        <w:t>79710000-4 Охоронні послуги Єдиний закупівельний словник ДК 021:2015 (</w:t>
      </w:r>
      <w:r w:rsidR="00F901BC" w:rsidRPr="00D80DAC">
        <w:rPr>
          <w:rFonts w:ascii="Times New Roman" w:hAnsi="Times New Roman" w:cs="Times New Roman"/>
          <w:b/>
          <w:i/>
          <w:color w:val="000000"/>
          <w:sz w:val="28"/>
          <w:szCs w:val="28"/>
          <w:u w:val="single"/>
          <w:lang w:eastAsia="ru-RU"/>
        </w:rPr>
        <w:t xml:space="preserve"> Послуги з охорони за допомогою пульта централізованого спостереження; Послуги з охорони за допомогою пульта централізованого спостереження</w:t>
      </w:r>
      <w:r w:rsidR="00F901BC" w:rsidRPr="00D80DAC">
        <w:rPr>
          <w:rFonts w:ascii="Times New Roman" w:hAnsi="Times New Roman" w:cs="Times New Roman"/>
          <w:b/>
          <w:i/>
          <w:color w:val="000000"/>
          <w:sz w:val="28"/>
          <w:szCs w:val="28"/>
          <w:u w:val="single"/>
          <w:lang w:val="uk-UA" w:eastAsia="ru-RU"/>
        </w:rPr>
        <w:t>, додатково КТВ</w:t>
      </w:r>
      <w:r w:rsidR="00F901BC" w:rsidRPr="00D80DAC">
        <w:rPr>
          <w:rFonts w:ascii="Times New Roman" w:hAnsi="Times New Roman" w:cs="Times New Roman"/>
          <w:b/>
          <w:i/>
          <w:color w:val="000000"/>
          <w:sz w:val="28"/>
          <w:szCs w:val="28"/>
          <w:u w:val="single"/>
          <w:lang w:eastAsia="ru-RU"/>
        </w:rPr>
        <w:t>; Послуги з реагування на сигнал КТВ</w:t>
      </w:r>
      <w:r w:rsidR="00F901BC" w:rsidRPr="00D80DAC">
        <w:rPr>
          <w:rFonts w:ascii="Times New Roman" w:hAnsi="Times New Roman" w:cs="Times New Roman"/>
          <w:b/>
          <w:i/>
          <w:sz w:val="28"/>
          <w:szCs w:val="28"/>
          <w:u w:val="single"/>
          <w:lang w:eastAsia="ru-RU"/>
        </w:rPr>
        <w:t>)</w:t>
      </w:r>
    </w:p>
    <w:p w14:paraId="2E23F73F" w14:textId="6F0D40BD" w:rsidR="0073119C" w:rsidRPr="006B3332" w:rsidRDefault="0073119C" w:rsidP="006B3332">
      <w:pPr>
        <w:pStyle w:val="11"/>
        <w:spacing w:line="240" w:lineRule="auto"/>
        <w:jc w:val="center"/>
        <w:rPr>
          <w:b/>
          <w:sz w:val="40"/>
          <w:szCs w:val="40"/>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F901BC"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3E441C52" w:rsidR="00A47AA3" w:rsidRPr="006A3A7B" w:rsidRDefault="00F901BC" w:rsidP="003747AA">
            <w:pPr>
              <w:widowControl w:val="0"/>
              <w:contextualSpacing/>
              <w:jc w:val="both"/>
              <w:rPr>
                <w:rFonts w:ascii="Times New Roman" w:eastAsia="Times New Roman" w:hAnsi="Times New Roman" w:cs="Times New Roman"/>
                <w:b/>
                <w:i/>
                <w:iCs/>
                <w:u w:val="single"/>
                <w:lang w:val="uk-UA" w:eastAsia="ru-RU"/>
              </w:rPr>
            </w:pPr>
            <w:r w:rsidRPr="00F901BC">
              <w:rPr>
                <w:rFonts w:ascii="Times New Roman" w:hAnsi="Times New Roman"/>
                <w:b/>
                <w:bCs/>
                <w:i/>
                <w:iCs/>
                <w:color w:val="000000"/>
                <w:sz w:val="24"/>
                <w:szCs w:val="24"/>
                <w:u w:val="single"/>
                <w:shd w:val="clear" w:color="auto" w:fill="FFFFFF"/>
                <w:lang w:val="uk-UA"/>
              </w:rPr>
              <w:t>79710000-4 Охоронні послуги Єдиний закупівельний словник ДК 021:2015 ( Послуги з охорони за допомогою пульта централізованого спостереження; Послуги з охорони за допомогою пульта централізованого спостереження, додатково КТВ; Послуги з реагування на сигнал КТВ)</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A58CA7B" w14:textId="6A70C699" w:rsidR="005C1CD6" w:rsidRPr="005C1CD6" w:rsidRDefault="00634836" w:rsidP="00996472">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F901BC" w:rsidRPr="00F901BC">
              <w:rPr>
                <w:rFonts w:ascii="Times New Roman" w:hAnsi="Times New Roman"/>
                <w:b/>
                <w:bCs/>
                <w:i/>
                <w:iCs/>
                <w:color w:val="000000"/>
                <w:sz w:val="24"/>
                <w:szCs w:val="24"/>
                <w:u w:val="single"/>
                <w:shd w:val="clear" w:color="auto" w:fill="FFFFFF"/>
                <w:lang w:val="uk-UA"/>
              </w:rPr>
              <w:t>65000, Україна, м. Одеса, пров. Валіховський, 2; вул. Софіївська, 2; вул. Пастера, 11; вул. Мечнікова, 2/1; пров. Валіховський, 3а;  вул. Пастера, 2 б;  вул. Малиновського, 37; пр. Валіховський, 3; вул. Пастера, 9Е; вул. Мечнікова, 32; вул. Малиновського, 63; вул. Пішонівська (Ковалевського), 1; вул. Ольгіївська,13 ;вул.Княжеська, 1; вул. Пастера, 2а; вул. Мечнікова, 2б; вул. Ольгіївська, 4</w:t>
            </w:r>
          </w:p>
          <w:p w14:paraId="2710CD9B" w14:textId="0079D64D" w:rsidR="00800D70" w:rsidRPr="006A3A7B" w:rsidRDefault="00634836" w:rsidP="00F901BC">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F901BC">
              <w:rPr>
                <w:rFonts w:ascii="Times New Roman" w:hAnsi="Times New Roman"/>
                <w:b/>
                <w:bCs/>
                <w:i/>
                <w:iCs/>
                <w:color w:val="000000"/>
                <w:sz w:val="24"/>
                <w:szCs w:val="24"/>
                <w:u w:val="single"/>
                <w:shd w:val="clear" w:color="auto" w:fill="FFFFFF"/>
                <w:lang w:val="uk-UA"/>
              </w:rPr>
              <w:t>3</w:t>
            </w:r>
            <w:r w:rsidR="009C34B8">
              <w:rPr>
                <w:rFonts w:ascii="Times New Roman" w:hAnsi="Times New Roman"/>
                <w:b/>
                <w:bCs/>
                <w:i/>
                <w:iCs/>
                <w:color w:val="000000"/>
                <w:sz w:val="24"/>
                <w:szCs w:val="24"/>
                <w:u w:val="single"/>
                <w:shd w:val="clear" w:color="auto" w:fill="FFFFFF"/>
                <w:lang w:val="uk-UA"/>
              </w:rPr>
              <w:t xml:space="preserve"> </w:t>
            </w:r>
            <w:r w:rsidR="00996472">
              <w:rPr>
                <w:rFonts w:ascii="Times New Roman" w:hAnsi="Times New Roman"/>
                <w:b/>
                <w:bCs/>
                <w:i/>
                <w:iCs/>
                <w:color w:val="000000"/>
                <w:sz w:val="24"/>
                <w:szCs w:val="24"/>
                <w:u w:val="single"/>
                <w:shd w:val="clear" w:color="auto" w:fill="FFFFFF"/>
                <w:lang w:val="uk-UA"/>
              </w:rPr>
              <w:t>послуг</w:t>
            </w:r>
            <w:r w:rsidR="00F901BC">
              <w:rPr>
                <w:rFonts w:ascii="Times New Roman" w:hAnsi="Times New Roman"/>
                <w:b/>
                <w:bCs/>
                <w:i/>
                <w:iCs/>
                <w:color w:val="000000"/>
                <w:sz w:val="24"/>
                <w:szCs w:val="24"/>
                <w:u w:val="single"/>
                <w:shd w:val="clear" w:color="auto" w:fill="FFFFFF"/>
                <w:lang w:val="uk-UA"/>
              </w:rPr>
              <w:t>и</w:t>
            </w:r>
            <w:r w:rsidR="009C34B8">
              <w:rPr>
                <w:rFonts w:ascii="Times New Roman" w:hAnsi="Times New Roman"/>
                <w:b/>
                <w:bCs/>
                <w:i/>
                <w:iCs/>
                <w:color w:val="000000"/>
                <w:sz w:val="24"/>
                <w:szCs w:val="24"/>
                <w:u w:val="single"/>
                <w:shd w:val="clear" w:color="auto" w:fill="FFFFFF"/>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 xml:space="preserve">строки поставки товарів, </w:t>
            </w:r>
            <w:r w:rsidRPr="006A3A7B">
              <w:rPr>
                <w:rFonts w:ascii="Times New Roman" w:eastAsia="Times New Roman" w:hAnsi="Times New Roman" w:cs="Times New Roman"/>
                <w:lang w:val="uk-UA" w:eastAsia="ru-RU"/>
              </w:rPr>
              <w:lastRenderedPageBreak/>
              <w:t>виконання робіт, надання послуг</w:t>
            </w:r>
          </w:p>
        </w:tc>
        <w:tc>
          <w:tcPr>
            <w:tcW w:w="6537"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lastRenderedPageBreak/>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E25A89"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2"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w:t>
            </w:r>
            <w:r w:rsidR="00126BE7" w:rsidRPr="006A3A7B">
              <w:rPr>
                <w:rFonts w:ascii="Times New Roman" w:hAnsi="Times New Roman" w:cs="Times New Roman"/>
                <w:lang w:val="uk-UA" w:eastAsia="ru-RU"/>
              </w:rPr>
              <w:lastRenderedPageBreak/>
              <w:t xml:space="preserve">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xml:space="preserve">, у тому числі відповідній технічній специфікації (у разі потреби – планам, кресленням, малюнкам чи опису предмета </w:t>
            </w:r>
            <w:r w:rsidR="00CD4E1F" w:rsidRPr="006A3A7B">
              <w:rPr>
                <w:rFonts w:ascii="Times New Roman" w:hAnsi="Times New Roman" w:cs="Times New Roman"/>
                <w:lang w:val="uk-UA"/>
              </w:rPr>
              <w:lastRenderedPageBreak/>
              <w:t>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lastRenderedPageBreak/>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w:t>
            </w:r>
            <w:r w:rsidRPr="006A3A7B">
              <w:rPr>
                <w:rFonts w:ascii="Times New Roman" w:hAnsi="Times New Roman" w:cs="Times New Roman"/>
                <w:lang w:val="uk-UA"/>
              </w:rPr>
              <w:lastRenderedPageBreak/>
              <w:t xml:space="preserve">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25A89"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08475B">
              <w:rPr>
                <w:rFonts w:ascii="Times New Roman" w:hAnsi="Times New Roman" w:cs="Times New Roman"/>
                <w:iCs/>
                <w:lang w:val="uk-UA"/>
              </w:rPr>
              <w:t>У складі пропозиції Учасник надає</w:t>
            </w:r>
            <w:r w:rsidR="000720B2" w:rsidRPr="0008475B">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На підставі пункту 42 особливостей Замовник має право звернутися за підтвердженням інформації, наданої учасником/переможцем </w:t>
            </w:r>
            <w:r w:rsidRPr="006A3A7B">
              <w:rPr>
                <w:rFonts w:ascii="Times New Roman" w:hAnsi="Times New Roman" w:cs="Times New Roman"/>
                <w:lang w:val="uk-UA"/>
              </w:rPr>
              <w:lastRenderedPageBreak/>
              <w:t>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29"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6A3A7B">
              <w:rPr>
                <w:rFonts w:ascii="Times New Roman" w:hAnsi="Times New Roman" w:cs="Times New Roman"/>
                <w:b/>
                <w:shd w:val="clear" w:color="auto" w:fill="FFFFFF"/>
                <w:lang w:val="uk-UA"/>
              </w:rPr>
              <w:lastRenderedPageBreak/>
              <w:t xml:space="preserve">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25A89"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w:t>
            </w:r>
            <w:r w:rsidRPr="006A3A7B">
              <w:rPr>
                <w:rFonts w:ascii="Times New Roman" w:hAnsi="Times New Roman" w:cs="Times New Roman"/>
                <w:bCs/>
                <w:lang w:val="uk-UA"/>
              </w:rPr>
              <w:lastRenderedPageBreak/>
              <w:t xml:space="preserve">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25A89"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E25A89"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5DDD613A"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E25A89">
              <w:rPr>
                <w:rFonts w:ascii="Times New Roman" w:eastAsia="Times New Roman" w:hAnsi="Times New Roman" w:cs="Times New Roman"/>
                <w:b/>
                <w:lang w:val="uk-UA" w:eastAsia="ru-RU"/>
              </w:rPr>
              <w:t>01</w:t>
            </w:r>
            <w:r w:rsidR="005C1CD6">
              <w:rPr>
                <w:rFonts w:ascii="Times New Roman" w:eastAsia="Times New Roman" w:hAnsi="Times New Roman" w:cs="Times New Roman"/>
                <w:b/>
                <w:lang w:val="uk-UA" w:eastAsia="ru-RU"/>
              </w:rPr>
              <w:t xml:space="preserve"> </w:t>
            </w:r>
            <w:r w:rsidR="00E25A89">
              <w:rPr>
                <w:rFonts w:ascii="Times New Roman" w:eastAsia="Times New Roman" w:hAnsi="Times New Roman" w:cs="Times New Roman"/>
                <w:b/>
                <w:lang w:val="uk-UA" w:eastAsia="ru-RU"/>
              </w:rPr>
              <w:t>квітня</w:t>
            </w:r>
            <w:bookmarkStart w:id="3" w:name="_GoBack"/>
            <w:bookmarkEnd w:id="3"/>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1"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2"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3"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5" w:anchor="n1497" w:tgtFrame="_blank" w:history="1">
              <w:r w:rsidRPr="006A3A7B">
                <w:rPr>
                  <w:rStyle w:val="a6"/>
                  <w:rFonts w:ascii="Times New Roman" w:hAnsi="Times New Roman" w:cs="Times New Roman"/>
                  <w:bCs/>
                  <w:lang w:val="uk-UA"/>
                </w:rPr>
                <w:t xml:space="preserve">абзацу </w:t>
              </w:r>
              <w:r w:rsidRPr="006A3A7B">
                <w:rPr>
                  <w:rStyle w:val="a6"/>
                  <w:rFonts w:ascii="Times New Roman" w:hAnsi="Times New Roman" w:cs="Times New Roman"/>
                  <w:bCs/>
                  <w:lang w:val="uk-UA"/>
                </w:rPr>
                <w:lastRenderedPageBreak/>
                <w:t>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5"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До формальних (несуттєвих) помилок належать технічні, механічні та інші помилки, допущені учасником в документах, і </w:t>
            </w:r>
            <w:r w:rsidRPr="006A3A7B">
              <w:rPr>
                <w:rFonts w:ascii="Times New Roman" w:hAnsi="Times New Roman" w:cs="Times New Roman"/>
                <w:b/>
                <w:lang w:val="uk-UA"/>
              </w:rPr>
              <w:lastRenderedPageBreak/>
              <w:t>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w:t>
            </w:r>
            <w:r w:rsidR="0019530F" w:rsidRPr="006A3A7B">
              <w:rPr>
                <w:rFonts w:ascii="Times New Roman" w:hAnsi="Times New Roman" w:cs="Times New Roman"/>
                <w:i/>
                <w:lang w:val="uk-UA"/>
              </w:rPr>
              <w:lastRenderedPageBreak/>
              <w:t>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6A3A7B">
              <w:rPr>
                <w:rFonts w:ascii="Times New Roman" w:hAnsi="Times New Roman" w:cs="Times New Roman"/>
                <w:lang w:val="uk-UA"/>
              </w:rPr>
              <w:lastRenderedPageBreak/>
              <w:t>(документи)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відхилено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w:t>
            </w:r>
            <w:r w:rsidRPr="006A3A7B">
              <w:rPr>
                <w:rFonts w:ascii="Times New Roman" w:hAnsi="Times New Roman" w:cs="Times New Roman"/>
                <w:bdr w:val="none" w:sz="0" w:space="0" w:color="auto" w:frame="1"/>
                <w:lang w:val="uk-UA"/>
              </w:rPr>
              <w:lastRenderedPageBreak/>
              <w:t>№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w:t>
            </w:r>
            <w:r w:rsidRPr="006A3A7B">
              <w:rPr>
                <w:rFonts w:ascii="Times New Roman" w:eastAsia="Times New Roman" w:hAnsi="Times New Roman" w:cs="Times New Roman"/>
                <w:lang w:val="uk-UA" w:eastAsia="ru-RU"/>
              </w:rPr>
              <w:lastRenderedPageBreak/>
              <w:t xml:space="preserve">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xml:space="preserve"> частини </w:t>
            </w:r>
            <w:r w:rsidR="00706663" w:rsidRPr="006A3A7B">
              <w:rPr>
                <w:rFonts w:ascii="Times New Roman" w:eastAsia="Times New Roman" w:hAnsi="Times New Roman" w:cs="Times New Roman"/>
                <w:lang w:val="uk-UA" w:eastAsia="ru-RU"/>
              </w:rPr>
              <w:lastRenderedPageBreak/>
              <w:t>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w:t>
            </w:r>
            <w:r w:rsidRPr="006A3A7B">
              <w:rPr>
                <w:rFonts w:ascii="Times New Roman" w:hAnsi="Times New Roman" w:cs="Times New Roman"/>
                <w:lang w:val="uk-UA"/>
              </w:rPr>
              <w:lastRenderedPageBreak/>
              <w:t>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A0536" w:rsidRDefault="004A0536" w:rsidP="00126BE7">
      <w:pPr>
        <w:spacing w:after="0" w:line="240" w:lineRule="auto"/>
      </w:pPr>
      <w:r>
        <w:separator/>
      </w:r>
    </w:p>
  </w:endnote>
  <w:endnote w:type="continuationSeparator" w:id="0">
    <w:p w14:paraId="38C5363F" w14:textId="77777777" w:rsidR="004A0536" w:rsidRDefault="004A0536"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FAE09B5" w:rsidR="004A0536" w:rsidRPr="00273EE3" w:rsidRDefault="004A0536"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25A89">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A0536" w:rsidRDefault="004A0536" w:rsidP="00126BE7">
      <w:pPr>
        <w:spacing w:after="0" w:line="240" w:lineRule="auto"/>
      </w:pPr>
      <w:r>
        <w:separator/>
      </w:r>
    </w:p>
  </w:footnote>
  <w:footnote w:type="continuationSeparator" w:id="0">
    <w:p w14:paraId="670A56FA" w14:textId="77777777" w:rsidR="004A0536" w:rsidRDefault="004A0536"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46C"/>
    <w:rsid w:val="001C7FB1"/>
    <w:rsid w:val="001E0908"/>
    <w:rsid w:val="00200DD9"/>
    <w:rsid w:val="00226BBB"/>
    <w:rsid w:val="00231A20"/>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598D"/>
    <w:rsid w:val="006000EE"/>
    <w:rsid w:val="00610A28"/>
    <w:rsid w:val="00612BD2"/>
    <w:rsid w:val="0061608C"/>
    <w:rsid w:val="00634836"/>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B00DF"/>
    <w:rsid w:val="009C1F31"/>
    <w:rsid w:val="009C34B8"/>
    <w:rsid w:val="009C6BC2"/>
    <w:rsid w:val="009D59AD"/>
    <w:rsid w:val="009D7BBE"/>
    <w:rsid w:val="009E3874"/>
    <w:rsid w:val="009F5CF2"/>
    <w:rsid w:val="00A033EB"/>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25A89"/>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64CE2"/>
    <w:rsid w:val="00F64F6E"/>
    <w:rsid w:val="00F732E4"/>
    <w:rsid w:val="00F83029"/>
    <w:rsid w:val="00F901BC"/>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9F0DB-1373-42E8-8894-146F3806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53085</Words>
  <Characters>30260</Characters>
  <Application>Microsoft Office Word</Application>
  <DocSecurity>0</DocSecurity>
  <Lines>252</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2024-03-27T13:29:00Z</dcterms:created>
  <dcterms:modified xsi:type="dcterms:W3CDTF">2024-03-27T13:29:00Z</dcterms:modified>
</cp:coreProperties>
</file>