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bookmarkStart w:id="0" w:name="_Hlk37750689"/>
      <w:r>
        <w:rPr>
          <w:b/>
          <w:bCs/>
          <w:sz w:val="28"/>
          <w:szCs w:val="28"/>
        </w:rPr>
        <w:t xml:space="preserve">3  державний пожежно-рятувальний загін Головного управління Державної служби України з надзвичайних ситуацій  </w:t>
      </w:r>
    </w:p>
    <w:p>
      <w:pPr>
        <w:jc w:val="center"/>
        <w:rPr>
          <w:b/>
          <w:bCs/>
          <w:sz w:val="28"/>
          <w:szCs w:val="28"/>
        </w:rPr>
      </w:pPr>
      <w:r>
        <w:rPr>
          <w:b/>
          <w:bCs/>
          <w:sz w:val="28"/>
          <w:szCs w:val="28"/>
        </w:rPr>
        <w:t>у Кіровоградській області</w:t>
      </w:r>
    </w:p>
    <w:p>
      <w:pPr>
        <w:jc w:val="right"/>
      </w:pPr>
    </w:p>
    <w:bookmarkEnd w:id="0"/>
    <w:p>
      <w:pPr>
        <w:jc w:val="right"/>
      </w:pPr>
    </w:p>
    <w:tbl>
      <w:tblPr>
        <w:tblStyle w:val="3"/>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84"/>
        <w:gridCol w:w="92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84" w:type="dxa"/>
            <w:tcBorders>
              <w:top w:val="nil"/>
              <w:left w:val="nil"/>
              <w:bottom w:val="nil"/>
              <w:right w:val="nil"/>
            </w:tcBorders>
          </w:tcPr>
          <w:p>
            <w:pPr>
              <w:jc w:val="right"/>
            </w:pPr>
          </w:p>
        </w:tc>
        <w:tc>
          <w:tcPr>
            <w:tcW w:w="9214" w:type="dxa"/>
            <w:tcBorders>
              <w:top w:val="nil"/>
              <w:left w:val="nil"/>
              <w:bottom w:val="nil"/>
              <w:right w:val="nil"/>
            </w:tcBorders>
          </w:tcPr>
          <w:p>
            <w:pPr>
              <w:jc w:val="right"/>
            </w:pPr>
            <w:r>
              <w:t>«ЗАТВЕРДЖЕНО»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284" w:type="dxa"/>
            <w:tcBorders>
              <w:top w:val="nil"/>
              <w:left w:val="nil"/>
              <w:bottom w:val="nil"/>
              <w:right w:val="nil"/>
            </w:tcBorders>
          </w:tcPr>
          <w:p>
            <w:pPr>
              <w:jc w:val="right"/>
            </w:pPr>
          </w:p>
        </w:tc>
        <w:tc>
          <w:tcPr>
            <w:tcW w:w="9214" w:type="dxa"/>
            <w:tcBorders>
              <w:top w:val="nil"/>
              <w:left w:val="nil"/>
              <w:bottom w:val="nil"/>
              <w:right w:val="nil"/>
            </w:tcBorders>
          </w:tcPr>
          <w:p>
            <w:pPr>
              <w:jc w:val="right"/>
            </w:pPr>
            <w:r>
              <w:t>протокольним рішенням уповноваженої особи</w:t>
            </w:r>
          </w:p>
          <w:p>
            <w:pPr>
              <w:jc w:val="right"/>
            </w:pPr>
            <w:r>
              <w:t xml:space="preserve"> 3 ДПРЗ ГУ ДСНС України у Кіровоградській області </w:t>
            </w:r>
          </w:p>
          <w:p>
            <w:pPr>
              <w:jc w:val="right"/>
            </w:pPr>
            <w:r>
              <w:rPr>
                <w:color w:val="auto"/>
              </w:rPr>
              <w:t xml:space="preserve">№ </w:t>
            </w:r>
            <w:r>
              <w:rPr>
                <w:rFonts w:hint="default"/>
                <w:color w:val="auto"/>
                <w:lang w:val="uk-UA"/>
              </w:rPr>
              <w:t>24</w:t>
            </w:r>
            <w:r>
              <w:rPr>
                <w:color w:val="FF0000"/>
              </w:rPr>
              <w:t xml:space="preserve"> </w:t>
            </w:r>
            <w:r>
              <w:t xml:space="preserve">від </w:t>
            </w:r>
            <w:r>
              <w:rPr>
                <w:rFonts w:hint="default"/>
                <w:lang w:val="uk-UA"/>
              </w:rPr>
              <w:t>02</w:t>
            </w:r>
            <w:r>
              <w:t>.0</w:t>
            </w:r>
            <w:r>
              <w:rPr>
                <w:rFonts w:hint="default"/>
                <w:lang w:val="uk-UA"/>
              </w:rPr>
              <w:t>4</w:t>
            </w:r>
            <w:r>
              <w:t>.2024 року</w:t>
            </w:r>
          </w:p>
          <w:p>
            <w:pPr>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84" w:type="dxa"/>
            <w:tcBorders>
              <w:top w:val="nil"/>
              <w:left w:val="nil"/>
              <w:bottom w:val="nil"/>
              <w:right w:val="nil"/>
            </w:tcBorders>
          </w:tcPr>
          <w:p/>
        </w:tc>
        <w:tc>
          <w:tcPr>
            <w:tcW w:w="9214" w:type="dxa"/>
            <w:tcBorders>
              <w:top w:val="nil"/>
              <w:left w:val="nil"/>
              <w:bottom w:val="nil"/>
              <w:right w:val="nil"/>
            </w:tcBorders>
          </w:tcP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84" w:type="dxa"/>
            <w:tcBorders>
              <w:top w:val="nil"/>
              <w:left w:val="nil"/>
              <w:bottom w:val="nil"/>
              <w:right w:val="nil"/>
            </w:tcBorders>
          </w:tcPr>
          <w:p/>
        </w:tc>
        <w:tc>
          <w:tcPr>
            <w:tcW w:w="9214" w:type="dxa"/>
            <w:tcBorders>
              <w:top w:val="nil"/>
              <w:left w:val="nil"/>
              <w:bottom w:val="nil"/>
              <w:right w:val="nil"/>
            </w:tcBorders>
          </w:tcP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84" w:type="dxa"/>
            <w:tcBorders>
              <w:top w:val="nil"/>
              <w:left w:val="nil"/>
              <w:bottom w:val="nil"/>
              <w:right w:val="nil"/>
            </w:tcBorders>
          </w:tcPr>
          <w:p/>
        </w:tc>
        <w:tc>
          <w:tcPr>
            <w:tcW w:w="9214" w:type="dxa"/>
            <w:tcBorders>
              <w:top w:val="nil"/>
              <w:left w:val="nil"/>
              <w:bottom w:val="nil"/>
              <w:right w:val="nil"/>
            </w:tcBorders>
          </w:tcPr>
          <w:p/>
        </w:tc>
      </w:tr>
    </w:tbl>
    <w:p>
      <w:pPr>
        <w:jc w:val="center"/>
        <w:rPr>
          <w:b/>
          <w:sz w:val="32"/>
          <w:szCs w:val="32"/>
        </w:rPr>
      </w:pPr>
      <w:r>
        <w:rPr>
          <w:b/>
          <w:sz w:val="32"/>
          <w:szCs w:val="32"/>
        </w:rPr>
        <w:t>ТЕНДЕРНА ДОКУМЕНТАЦІЯ</w:t>
      </w:r>
    </w:p>
    <w:p>
      <w:pPr>
        <w:jc w:val="center"/>
      </w:pPr>
    </w:p>
    <w:tbl>
      <w:tblPr>
        <w:tblStyle w:val="3"/>
        <w:tblW w:w="9840" w:type="dxa"/>
        <w:jc w:val="center"/>
        <w:tblLayout w:type="fixed"/>
        <w:tblCellMar>
          <w:top w:w="0" w:type="dxa"/>
          <w:left w:w="108" w:type="dxa"/>
          <w:bottom w:w="0" w:type="dxa"/>
          <w:right w:w="108" w:type="dxa"/>
        </w:tblCellMar>
      </w:tblPr>
      <w:tblGrid>
        <w:gridCol w:w="108"/>
        <w:gridCol w:w="9356"/>
        <w:gridCol w:w="268"/>
        <w:gridCol w:w="108"/>
      </w:tblGrid>
      <w:tr>
        <w:tblPrEx>
          <w:tblCellMar>
            <w:top w:w="0" w:type="dxa"/>
            <w:left w:w="108" w:type="dxa"/>
            <w:bottom w:w="0" w:type="dxa"/>
            <w:right w:w="108" w:type="dxa"/>
          </w:tblCellMar>
        </w:tblPrEx>
        <w:trPr>
          <w:gridBefore w:val="1"/>
          <w:wBefore w:w="108" w:type="dxa"/>
          <w:jc w:val="center"/>
        </w:trPr>
        <w:tc>
          <w:tcPr>
            <w:tcW w:w="9732" w:type="dxa"/>
            <w:gridSpan w:val="3"/>
            <w:shd w:val="clear" w:color="auto" w:fill="auto"/>
          </w:tcPr>
          <w:p>
            <w:pPr>
              <w:jc w:val="center"/>
            </w:pPr>
            <w:r>
              <w:t>в</w:t>
            </w:r>
            <w:r>
              <w:rPr>
                <w:lang w:val="ru-RU"/>
              </w:rPr>
              <w:t xml:space="preserve">ид </w:t>
            </w:r>
            <w:r>
              <w:t>закупівлі:</w:t>
            </w:r>
          </w:p>
          <w:p>
            <w:pPr>
              <w:jc w:val="center"/>
            </w:pPr>
            <w:r>
              <w:t>ВІДКРИТІ ТОРГИ</w:t>
            </w:r>
          </w:p>
          <w:p>
            <w:pPr>
              <w:jc w:val="center"/>
            </w:pPr>
          </w:p>
        </w:tc>
      </w:tr>
      <w:tr>
        <w:tblPrEx>
          <w:tblCellMar>
            <w:top w:w="0" w:type="dxa"/>
            <w:left w:w="108" w:type="dxa"/>
            <w:bottom w:w="0" w:type="dxa"/>
            <w:right w:w="108" w:type="dxa"/>
          </w:tblCellMar>
        </w:tblPrEx>
        <w:trPr>
          <w:gridAfter w:val="1"/>
          <w:wAfter w:w="108" w:type="dxa"/>
          <w:jc w:val="center"/>
        </w:trPr>
        <w:tc>
          <w:tcPr>
            <w:tcW w:w="9732" w:type="dxa"/>
            <w:gridSpan w:val="3"/>
            <w:shd w:val="clear" w:color="auto" w:fill="auto"/>
          </w:tcPr>
          <w:p>
            <w:pPr>
              <w:jc w:val="center"/>
              <w:rPr>
                <w:lang w:val="ru-RU"/>
              </w:rPr>
            </w:pPr>
            <w:r>
              <w:t>предмет закупівлі: товар</w:t>
            </w:r>
          </w:p>
          <w:p>
            <w:pPr>
              <w:jc w:val="center"/>
            </w:pPr>
          </w:p>
        </w:tc>
      </w:tr>
      <w:tr>
        <w:tblPrEx>
          <w:tblCellMar>
            <w:top w:w="0" w:type="dxa"/>
            <w:left w:w="28" w:type="dxa"/>
            <w:bottom w:w="0" w:type="dxa"/>
            <w:right w:w="28" w:type="dxa"/>
          </w:tblCellMar>
        </w:tblPrEx>
        <w:trPr>
          <w:gridBefore w:val="1"/>
          <w:gridAfter w:val="2"/>
          <w:wBefore w:w="108" w:type="dxa"/>
          <w:wAfter w:w="376" w:type="dxa"/>
          <w:trHeight w:val="218" w:hRule="atLeast"/>
          <w:jc w:val="center"/>
        </w:trPr>
        <w:tc>
          <w:tcPr>
            <w:tcW w:w="9356" w:type="dxa"/>
          </w:tcPr>
          <w:p>
            <w:pPr>
              <w:jc w:val="center"/>
              <w:rPr>
                <w:b/>
                <w:bCs/>
                <w:color w:val="000000"/>
                <w:sz w:val="28"/>
                <w:szCs w:val="28"/>
                <w:lang w:eastAsia="uk-UA" w:bidi="uk-UA"/>
              </w:rPr>
            </w:pPr>
            <w:r>
              <w:rPr>
                <w:b/>
                <w:bCs/>
                <w:color w:val="000000"/>
                <w:sz w:val="28"/>
                <w:szCs w:val="28"/>
                <w:lang w:bidi="ru-RU"/>
              </w:rPr>
              <w:t xml:space="preserve">Шини для вантажних автомобілів код ДК </w:t>
            </w:r>
            <w:r>
              <w:rPr>
                <w:b/>
                <w:bCs/>
                <w:color w:val="000000"/>
                <w:sz w:val="28"/>
                <w:szCs w:val="28"/>
                <w:lang w:bidi="en-US"/>
              </w:rPr>
              <w:t>021:2015</w:t>
            </w:r>
            <w:r>
              <w:rPr>
                <w:b/>
                <w:bCs/>
                <w:color w:val="000000"/>
                <w:sz w:val="28"/>
                <w:szCs w:val="28"/>
                <w:lang w:eastAsia="uk-UA" w:bidi="uk-UA"/>
              </w:rPr>
              <w:t>:34350000-5 «Шини для транспортних засобів великої та малої тоннажності»</w:t>
            </w:r>
          </w:p>
          <w:p>
            <w:pPr>
              <w:keepLines/>
              <w:autoSpaceDE w:val="0"/>
              <w:autoSpaceDN w:val="0"/>
              <w:jc w:val="center"/>
              <w:rPr>
                <w:b/>
                <w:bCs/>
                <w:color w:val="000000"/>
                <w:sz w:val="28"/>
                <w:szCs w:val="28"/>
                <w:lang w:eastAsia="uk-UA" w:bidi="uk-UA"/>
              </w:rPr>
            </w:pPr>
            <w:r>
              <w:rPr>
                <w:b/>
                <w:bCs/>
                <w:color w:val="000000"/>
                <w:sz w:val="28"/>
                <w:szCs w:val="28"/>
                <w:lang w:eastAsia="uk-UA" w:bidi="uk-UA"/>
              </w:rPr>
              <w:t>«</w:t>
            </w:r>
            <w:r>
              <w:rPr>
                <w:b/>
                <w:bCs/>
                <w:color w:val="000000"/>
                <w:sz w:val="28"/>
                <w:szCs w:val="28"/>
                <w:lang w:bidi="ru-RU"/>
              </w:rPr>
              <w:t>Шини для вантажних автомобілів</w:t>
            </w:r>
            <w:r>
              <w:rPr>
                <w:b/>
                <w:bCs/>
                <w:color w:val="000000"/>
                <w:sz w:val="28"/>
                <w:szCs w:val="28"/>
                <w:lang w:eastAsia="uk-UA" w:bidi="uk-UA"/>
              </w:rPr>
              <w:t>» код ДК 021:2015:34352100-0</w:t>
            </w:r>
          </w:p>
          <w:p>
            <w:pPr>
              <w:keepLines/>
              <w:autoSpaceDE w:val="0"/>
              <w:autoSpaceDN w:val="0"/>
              <w:jc w:val="center"/>
              <w:rPr>
                <w:b/>
                <w:bCs/>
                <w:color w:val="000000"/>
                <w:sz w:val="28"/>
                <w:szCs w:val="28"/>
                <w:lang w:val="en-US" w:eastAsia="en-US" w:bidi="uk-UA"/>
              </w:rPr>
            </w:pPr>
            <w:r>
              <w:rPr>
                <w:b/>
                <w:bCs/>
                <w:color w:val="000000"/>
                <w:sz w:val="28"/>
                <w:szCs w:val="28"/>
                <w:lang w:eastAsia="uk-UA"/>
              </w:rPr>
              <mc:AlternateContent>
                <mc:Choice Requires="wps">
                  <w:drawing>
                    <wp:inline distT="0" distB="0" distL="114300" distR="114300">
                      <wp:extent cx="635" cy="0"/>
                      <wp:effectExtent l="0" t="0" r="0" b="0"/>
                      <wp:docPr id="2" name="Автофігури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Автофігури 7" o:spid="_x0000_s1026" o:spt="1" style="height:0pt;width:0.05pt;" filled="f" stroked="t" coordsize="21600,21600" o:gfxdata="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">
                      <v:fill on="f" focussize="0,0"/>
                      <v:stroke color="#000000" joinstyle="miter"/>
                      <v:imagedata o:title=""/>
                      <o:lock v:ext="edit" aspectratio="t"/>
                      <w10:wrap type="none"/>
                      <w10:anchorlock/>
                    </v:rect>
                  </w:pict>
                </mc:Fallback>
              </mc:AlternateContent>
            </w:r>
            <w:r>
              <w:rPr>
                <w:b/>
                <w:bCs/>
                <w:color w:val="000000"/>
                <w:sz w:val="28"/>
                <w:szCs w:val="28"/>
                <w:lang w:val="en-US" w:eastAsia="en-US" w:bidi="uk-UA"/>
              </w:rPr>
              <w:t xml:space="preserve">«Автомобільні шини» код ДК 021:2015: 34351100-3 </w:t>
            </w:r>
          </w:p>
          <w:p>
            <w:pPr>
              <w:keepLines/>
              <w:autoSpaceDE w:val="0"/>
              <w:autoSpaceDN w:val="0"/>
              <w:jc w:val="center"/>
              <w:rPr>
                <w:b/>
                <w:bCs/>
                <w:color w:val="000000"/>
                <w:sz w:val="28"/>
                <w:szCs w:val="28"/>
                <w:lang w:val="en-US" w:eastAsia="en-US" w:bidi="uk-UA"/>
              </w:rPr>
            </w:pPr>
          </w:p>
        </w:tc>
      </w:tr>
    </w:tbl>
    <w:p/>
    <w:p/>
    <w:p/>
    <w:p/>
    <w:p/>
    <w:p/>
    <w:p/>
    <w:p/>
    <w:p/>
    <w:p/>
    <w:p/>
    <w:p/>
    <w:p>
      <w:pPr>
        <w:jc w:val="center"/>
        <w:rPr>
          <w:sz w:val="28"/>
          <w:szCs w:val="28"/>
          <w:lang w:val="ru-RU"/>
        </w:rPr>
      </w:pPr>
    </w:p>
    <w:p>
      <w:pPr>
        <w:jc w:val="center"/>
        <w:rPr>
          <w:sz w:val="28"/>
          <w:szCs w:val="28"/>
          <w:lang w:val="ru-RU"/>
        </w:rPr>
      </w:pPr>
    </w:p>
    <w:p>
      <w:pPr>
        <w:jc w:val="center"/>
        <w:rPr>
          <w:sz w:val="28"/>
          <w:szCs w:val="28"/>
          <w:lang w:val="ru-RU"/>
        </w:rPr>
      </w:pPr>
    </w:p>
    <w:p>
      <w:pPr>
        <w:jc w:val="center"/>
        <w:rPr>
          <w:sz w:val="28"/>
          <w:szCs w:val="28"/>
          <w:lang w:val="ru-RU"/>
        </w:rPr>
      </w:pPr>
    </w:p>
    <w:p>
      <w:pPr>
        <w:jc w:val="center"/>
        <w:rPr>
          <w:sz w:val="28"/>
          <w:szCs w:val="28"/>
          <w:lang w:val="ru-RU"/>
        </w:rPr>
      </w:pPr>
    </w:p>
    <w:p>
      <w:pPr>
        <w:jc w:val="center"/>
        <w:rPr>
          <w:lang w:val="ru-RU"/>
        </w:rPr>
      </w:pPr>
    </w:p>
    <w:p>
      <w:pPr>
        <w:jc w:val="center"/>
        <w:rPr>
          <w:lang w:val="ru-RU"/>
        </w:rPr>
      </w:pPr>
    </w:p>
    <w:p>
      <w:pPr>
        <w:jc w:val="center"/>
        <w:rPr>
          <w:lang w:val="ru-RU"/>
        </w:rPr>
      </w:pPr>
    </w:p>
    <w:p>
      <w:pPr>
        <w:jc w:val="center"/>
      </w:pPr>
      <w:r>
        <w:t>смт Голованівськ</w:t>
      </w:r>
    </w:p>
    <w:p>
      <w:pPr>
        <w:jc w:val="center"/>
      </w:pPr>
      <w:r>
        <w:t>2024</w:t>
      </w:r>
    </w:p>
    <w:p>
      <w:pPr>
        <w:jc w:val="center"/>
        <w:rPr>
          <w:sz w:val="28"/>
          <w:szCs w:val="28"/>
          <w:lang w:val="ru-RU"/>
        </w:rPr>
      </w:pPr>
    </w:p>
    <w:p>
      <w:pPr>
        <w:jc w:val="center"/>
        <w:rPr>
          <w:sz w:val="28"/>
          <w:szCs w:val="28"/>
          <w:lang w:val="ru-RU"/>
        </w:rPr>
      </w:pPr>
    </w:p>
    <w:tbl>
      <w:tblPr>
        <w:tblStyle w:val="3"/>
        <w:tblW w:w="10692" w:type="dxa"/>
        <w:jc w:val="center"/>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550"/>
        <w:gridCol w:w="21"/>
        <w:gridCol w:w="3466"/>
        <w:gridCol w:w="6655"/>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tcMar>
              <w:left w:w="103" w:type="dxa"/>
            </w:tcMar>
            <w:vAlign w:val="center"/>
          </w:tcPr>
          <w:p>
            <w:r>
              <w:br w:type="page"/>
            </w:r>
            <w:r>
              <w:br w:type="page"/>
            </w:r>
            <w:r>
              <w:br w:type="page"/>
            </w:r>
            <w:r>
              <w:br w:type="page"/>
            </w:r>
            <w:r>
              <w:br w:type="page"/>
            </w:r>
            <w:r>
              <w:t>№</w:t>
            </w:r>
          </w:p>
        </w:tc>
        <w:tc>
          <w:tcPr>
            <w:tcW w:w="10116" w:type="dxa"/>
            <w:gridSpan w:val="2"/>
            <w:tcMar>
              <w:left w:w="93" w:type="dxa"/>
            </w:tcMar>
            <w:vAlign w:val="center"/>
          </w:tcPr>
          <w:p>
            <w:pPr>
              <w:jc w:val="center"/>
              <w:rPr>
                <w:b/>
                <w:bCs/>
              </w:rPr>
            </w:pPr>
            <w:r>
              <w:rPr>
                <w:b/>
                <w:bCs/>
              </w:rPr>
              <w:t>Розділ 1. Загальні положення</w:t>
            </w:r>
          </w:p>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48" w:hRule="atLeast"/>
          <w:jc w:val="center"/>
        </w:trPr>
        <w:tc>
          <w:tcPr>
            <w:tcW w:w="571" w:type="dxa"/>
            <w:gridSpan w:val="2"/>
            <w:tcMar>
              <w:left w:w="103" w:type="dxa"/>
            </w:tcMar>
            <w:vAlign w:val="center"/>
          </w:tcPr>
          <w:p>
            <w:r>
              <w:t>1</w:t>
            </w:r>
          </w:p>
        </w:tc>
        <w:tc>
          <w:tcPr>
            <w:tcW w:w="3461" w:type="dxa"/>
            <w:tcMar>
              <w:left w:w="93" w:type="dxa"/>
            </w:tcMar>
            <w:vAlign w:val="center"/>
          </w:tcPr>
          <w:p>
            <w:r>
              <w:t>2</w:t>
            </w:r>
          </w:p>
        </w:tc>
        <w:tc>
          <w:tcPr>
            <w:tcW w:w="6655" w:type="dxa"/>
            <w:tcMar>
              <w:left w:w="103" w:type="dxa"/>
            </w:tcMar>
            <w:vAlign w:val="center"/>
          </w:tcPr>
          <w:p>
            <w:r>
              <w:t>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tcMar>
              <w:left w:w="103" w:type="dxa"/>
            </w:tcMar>
          </w:tcPr>
          <w:p>
            <w:pPr>
              <w:rPr>
                <w:b/>
                <w:bCs/>
              </w:rPr>
            </w:pPr>
            <w:r>
              <w:rPr>
                <w:b/>
                <w:bCs/>
              </w:rPr>
              <w:t>1</w:t>
            </w:r>
          </w:p>
        </w:tc>
        <w:tc>
          <w:tcPr>
            <w:tcW w:w="3461" w:type="dxa"/>
            <w:tcMar>
              <w:left w:w="103" w:type="dxa"/>
            </w:tcMar>
          </w:tcPr>
          <w:p>
            <w:pPr>
              <w:rPr>
                <w:b/>
                <w:bCs/>
              </w:rPr>
            </w:pPr>
            <w:r>
              <w:rPr>
                <w:b/>
                <w:bCs/>
              </w:rPr>
              <w:t>Терміни, які вживаються в тендерній документації</w:t>
            </w:r>
          </w:p>
        </w:tc>
        <w:tc>
          <w:tcPr>
            <w:tcW w:w="6655" w:type="dxa"/>
            <w:tcMar>
              <w:left w:w="103" w:type="dxa"/>
            </w:tcMar>
            <w:vAlign w:val="center"/>
          </w:tcPr>
          <w:p>
            <w:r>
              <w:t xml:space="preserve">Тендерну документацію розроблено відповідно до вимог Закону </w:t>
            </w:r>
            <w:bookmarkStart w:id="1" w:name="_Hlk13656280"/>
            <w:r>
              <w:t xml:space="preserve">України </w:t>
            </w:r>
            <w:bookmarkStart w:id="2" w:name="_Hlk12442697"/>
            <w:bookmarkEnd w:id="2"/>
            <w:r>
              <w:t>«Про публічні закупівлі»</w:t>
            </w:r>
            <w:bookmarkEnd w:id="1"/>
            <w:r>
              <w:t xml:space="preserve"> із змінами (надалі – Закон) з урахуванням норм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(надалі–Особливості). Терміни вживаються у значенні, наведеному в Законі з урахуванням Особливостей.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13" w:hRule="atLeast"/>
          <w:jc w:val="center"/>
        </w:trPr>
        <w:tc>
          <w:tcPr>
            <w:tcW w:w="571" w:type="dxa"/>
            <w:gridSpan w:val="2"/>
            <w:tcMar>
              <w:left w:w="103" w:type="dxa"/>
            </w:tcMar>
          </w:tcPr>
          <w:p>
            <w:pPr>
              <w:rPr>
                <w:b/>
                <w:bCs/>
              </w:rPr>
            </w:pPr>
            <w:r>
              <w:rPr>
                <w:b/>
                <w:bCs/>
              </w:rPr>
              <w:t>2</w:t>
            </w:r>
          </w:p>
        </w:tc>
        <w:tc>
          <w:tcPr>
            <w:tcW w:w="3461" w:type="dxa"/>
            <w:tcMar>
              <w:left w:w="103" w:type="dxa"/>
            </w:tcMar>
          </w:tcPr>
          <w:p>
            <w:pPr>
              <w:rPr>
                <w:b/>
                <w:bCs/>
              </w:rPr>
            </w:pPr>
            <w:r>
              <w:rPr>
                <w:b/>
                <w:bCs/>
              </w:rPr>
              <w:t>Інформація про замовника торгів</w:t>
            </w:r>
          </w:p>
        </w:tc>
        <w:tc>
          <w:tcPr>
            <w:tcW w:w="6655" w:type="dxa"/>
            <w:tcMar>
              <w:left w:w="103" w:type="dxa"/>
            </w:tcMar>
          </w:tc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tcMar>
              <w:left w:w="103" w:type="dxa"/>
            </w:tcMar>
          </w:tcPr>
          <w:p>
            <w:pPr>
              <w:rPr>
                <w:b/>
                <w:bCs/>
              </w:rPr>
            </w:pPr>
            <w:r>
              <w:rPr>
                <w:b/>
                <w:bCs/>
              </w:rPr>
              <w:t>2.1</w:t>
            </w:r>
          </w:p>
        </w:tc>
        <w:tc>
          <w:tcPr>
            <w:tcW w:w="3461" w:type="dxa"/>
            <w:tcMar>
              <w:left w:w="103" w:type="dxa"/>
            </w:tcMar>
          </w:tcPr>
          <w:p>
            <w:pPr>
              <w:rPr>
                <w:b/>
                <w:bCs/>
              </w:rPr>
            </w:pPr>
            <w:r>
              <w:rPr>
                <w:b/>
                <w:bCs/>
              </w:rPr>
              <w:t>Повне найменування</w:t>
            </w:r>
          </w:p>
          <w:p>
            <w:pPr>
              <w:rPr>
                <w:b/>
                <w:bCs/>
              </w:rPr>
            </w:pPr>
            <w:r>
              <w:rPr>
                <w:b/>
                <w:bCs/>
              </w:rPr>
              <w:t>замовника</w:t>
            </w:r>
          </w:p>
        </w:tc>
        <w:tc>
          <w:tcPr>
            <w:tcW w:w="6655" w:type="dxa"/>
            <w:shd w:val="clear" w:color="auto" w:fill="auto"/>
            <w:tcMar>
              <w:left w:w="103" w:type="dxa"/>
            </w:tcMar>
          </w:tcPr>
          <w:p>
            <w:r>
              <w:t>3 державний пожежно-рятувальний загін Головного управління Державної служби України з надзвичайних ситуацій у Кіровоградській області (надалі – Замовник).</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tcMar>
              <w:left w:w="103" w:type="dxa"/>
            </w:tcMar>
          </w:tcPr>
          <w:p>
            <w:pPr>
              <w:rPr>
                <w:b/>
                <w:bCs/>
              </w:rPr>
            </w:pPr>
            <w:r>
              <w:rPr>
                <w:b/>
                <w:bCs/>
              </w:rPr>
              <w:t>2.2</w:t>
            </w:r>
          </w:p>
        </w:tc>
        <w:tc>
          <w:tcPr>
            <w:tcW w:w="3461" w:type="dxa"/>
            <w:tcMar>
              <w:left w:w="103" w:type="dxa"/>
            </w:tcMar>
          </w:tcPr>
          <w:p>
            <w:pPr>
              <w:rPr>
                <w:b/>
                <w:bCs/>
              </w:rPr>
            </w:pPr>
            <w:r>
              <w:rPr>
                <w:b/>
                <w:bCs/>
              </w:rPr>
              <w:t>Місцезнаходження :</w:t>
            </w:r>
          </w:p>
        </w:tc>
        <w:tc>
          <w:tcPr>
            <w:tcW w:w="6655" w:type="dxa"/>
            <w:tcMar>
              <w:left w:w="103" w:type="dxa"/>
            </w:tcMar>
          </w:tcPr>
          <w:p>
            <w:r>
              <w:t>вул. Соборна, будинок 3а, смт Голованівськ Голованівський район Кіровоградська область, 26500.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28" w:hRule="atLeast"/>
          <w:jc w:val="center"/>
        </w:trPr>
        <w:tc>
          <w:tcPr>
            <w:tcW w:w="571" w:type="dxa"/>
            <w:gridSpan w:val="2"/>
            <w:tcMar>
              <w:left w:w="103" w:type="dxa"/>
            </w:tcMar>
          </w:tcPr>
          <w:p>
            <w:pPr>
              <w:rPr>
                <w:b/>
                <w:bCs/>
              </w:rPr>
            </w:pPr>
            <w:r>
              <w:rPr>
                <w:b/>
                <w:bCs/>
              </w:rPr>
              <w:t>2.3</w:t>
            </w:r>
          </w:p>
        </w:tc>
        <w:tc>
          <w:tcPr>
            <w:tcW w:w="3461" w:type="dxa"/>
            <w:tcMar>
              <w:left w:w="103" w:type="dxa"/>
            </w:tcMar>
          </w:tcPr>
          <w:p>
            <w:pPr>
              <w:rPr>
                <w:b/>
                <w:bCs/>
              </w:rPr>
            </w:pPr>
            <w:r>
              <w:rPr>
                <w:b/>
                <w:bCs/>
              </w:rPr>
              <w:t>Посадова особа замовника, уповноважена здійснювати зв'язок з учасниками</w:t>
            </w:r>
          </w:p>
        </w:tc>
        <w:tc>
          <w:tcPr>
            <w:tcW w:w="6655" w:type="dxa"/>
            <w:tcMar>
              <w:left w:w="103" w:type="dxa"/>
            </w:tcMar>
          </w:tcPr>
          <w:p>
            <w:pPr>
              <w:ind w:firstLine="304"/>
              <w:rPr>
                <w:rFonts w:eastAsia="Arial"/>
                <w:color w:val="000000"/>
                <w:lang w:eastAsia="zh-CN"/>
              </w:rPr>
            </w:pPr>
            <w:r>
              <w:rPr>
                <w:rFonts w:eastAsia="Tahoma"/>
                <w:color w:val="000000"/>
                <w:lang w:eastAsia="zh-CN"/>
              </w:rPr>
              <w:t xml:space="preserve">Фахівець  групи ресурсного забезпечення 3 державного пожежно-рятувального загіну Головного управління Державної служби України з надзвичайних ситуацій у Кіровоградській області Крицький Василь Вікторович, телефон </w:t>
            </w:r>
            <w:r>
              <w:rPr>
                <w:rFonts w:eastAsia="Arial"/>
                <w:color w:val="000000"/>
                <w:lang w:eastAsia="zh-CN"/>
              </w:rPr>
              <w:t>+380977514656,</w:t>
            </w:r>
          </w:p>
          <w:p>
            <w:r>
              <w:rPr>
                <w:rFonts w:eastAsia="Arial"/>
                <w:color w:val="000000"/>
                <w:lang w:eastAsia="zh-CN"/>
              </w:rPr>
              <w:t>е-</w:t>
            </w:r>
            <w:r>
              <w:rPr>
                <w:rFonts w:eastAsia="Arial"/>
                <w:color w:val="000000"/>
                <w:lang w:val="ru-RU" w:eastAsia="zh-CN"/>
              </w:rPr>
              <w:t>mail</w:t>
            </w:r>
            <w:r>
              <w:rPr>
                <w:rFonts w:eastAsia="Arial"/>
                <w:color w:val="000000"/>
                <w:lang w:eastAsia="zh-CN"/>
              </w:rPr>
              <w:t>:</w:t>
            </w:r>
            <w:r>
              <w:rPr>
                <w:rFonts w:eastAsia="Tahoma"/>
                <w:color w:val="0000FF"/>
                <w:u w:val="single"/>
                <w:lang w:eastAsia="zh-CN"/>
              </w:rPr>
              <w:t>kvv-73@ukr.net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28" w:hRule="atLeast"/>
          <w:jc w:val="center"/>
        </w:trPr>
        <w:tc>
          <w:tcPr>
            <w:tcW w:w="571" w:type="dxa"/>
            <w:gridSpan w:val="2"/>
            <w:tcMar>
              <w:left w:w="103" w:type="dxa"/>
            </w:tcMar>
          </w:tcPr>
          <w:p>
            <w:pPr>
              <w:rPr>
                <w:b/>
                <w:bCs/>
              </w:rPr>
            </w:pPr>
            <w:r>
              <w:rPr>
                <w:b/>
                <w:bCs/>
              </w:rPr>
              <w:t xml:space="preserve">2.4 </w:t>
            </w:r>
          </w:p>
        </w:tc>
        <w:tc>
          <w:tcPr>
            <w:tcW w:w="3461" w:type="dxa"/>
            <w:tcMar>
              <w:left w:w="103" w:type="dxa"/>
            </w:tcMar>
          </w:tcPr>
          <w:p>
            <w:pPr>
              <w:rPr>
                <w:b/>
                <w:bCs/>
              </w:rPr>
            </w:pPr>
            <w:r>
              <w:rPr>
                <w:b/>
                <w:bCs/>
              </w:rPr>
              <w:t>Категорія замовника</w:t>
            </w:r>
          </w:p>
        </w:tc>
        <w:tc>
          <w:tcPr>
            <w:tcW w:w="6655" w:type="dxa"/>
            <w:tcMar>
              <w:left w:w="103" w:type="dxa"/>
            </w:tcMar>
          </w:tcPr>
          <w:p>
            <w:r>
              <w:t>Юридичні особи, які є підприємствами, установами, організаціями, зазначені у пункті 3 частини 1 статті 2 Закону.</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49" w:hRule="atLeast"/>
          <w:jc w:val="center"/>
        </w:trPr>
        <w:tc>
          <w:tcPr>
            <w:tcW w:w="571" w:type="dxa"/>
            <w:gridSpan w:val="2"/>
            <w:tcMar>
              <w:left w:w="103" w:type="dxa"/>
            </w:tcMar>
          </w:tcPr>
          <w:p>
            <w:pPr>
              <w:rPr>
                <w:b/>
                <w:bCs/>
              </w:rPr>
            </w:pPr>
            <w:r>
              <w:rPr>
                <w:b/>
                <w:bCs/>
              </w:rPr>
              <w:t>3</w:t>
            </w:r>
          </w:p>
        </w:tc>
        <w:tc>
          <w:tcPr>
            <w:tcW w:w="3461" w:type="dxa"/>
            <w:tcMar>
              <w:left w:w="103" w:type="dxa"/>
            </w:tcMar>
          </w:tcPr>
          <w:p>
            <w:pPr>
              <w:rPr>
                <w:b/>
                <w:bCs/>
              </w:rPr>
            </w:pPr>
            <w:r>
              <w:rPr>
                <w:b/>
                <w:bCs/>
              </w:rPr>
              <w:t>Процедура закупівлі</w:t>
            </w:r>
          </w:p>
        </w:tc>
        <w:tc>
          <w:tcPr>
            <w:tcW w:w="6655" w:type="dxa"/>
            <w:tcMar>
              <w:left w:w="103" w:type="dxa"/>
            </w:tcMar>
          </w:tcPr>
          <w:p>
            <w:r>
              <w:t>Відкриті торги з особливостями.</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321" w:hRule="atLeast"/>
          <w:jc w:val="center"/>
        </w:trPr>
        <w:tc>
          <w:tcPr>
            <w:tcW w:w="571" w:type="dxa"/>
            <w:gridSpan w:val="2"/>
            <w:tcMar>
              <w:left w:w="103" w:type="dxa"/>
            </w:tcMar>
          </w:tcPr>
          <w:p>
            <w:pPr>
              <w:rPr>
                <w:b/>
                <w:bCs/>
              </w:rPr>
            </w:pPr>
            <w:r>
              <w:rPr>
                <w:b/>
                <w:bCs/>
              </w:rPr>
              <w:t>4</w:t>
            </w:r>
          </w:p>
        </w:tc>
        <w:tc>
          <w:tcPr>
            <w:tcW w:w="3461" w:type="dxa"/>
            <w:tcMar>
              <w:left w:w="103" w:type="dxa"/>
            </w:tcMar>
          </w:tcPr>
          <w:p>
            <w:pPr>
              <w:rPr>
                <w:b/>
                <w:bCs/>
              </w:rPr>
            </w:pPr>
            <w:r>
              <w:rPr>
                <w:b/>
                <w:bCs/>
              </w:rPr>
              <w:t>Інформація про предмет закупівлі</w:t>
            </w:r>
          </w:p>
        </w:tc>
        <w:tc>
          <w:tcPr>
            <w:tcW w:w="6655" w:type="dxa"/>
            <w:tcMar>
              <w:left w:w="103" w:type="dxa"/>
            </w:tcMar>
          </w:tc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756" w:hRule="atLeast"/>
          <w:jc w:val="center"/>
        </w:trPr>
        <w:tc>
          <w:tcPr>
            <w:tcW w:w="571" w:type="dxa"/>
            <w:gridSpan w:val="2"/>
            <w:tcMar>
              <w:left w:w="103" w:type="dxa"/>
            </w:tcMar>
          </w:tcPr>
          <w:p>
            <w:pPr>
              <w:rPr>
                <w:b/>
                <w:bCs/>
              </w:rPr>
            </w:pPr>
            <w:r>
              <w:rPr>
                <w:b/>
                <w:bCs/>
              </w:rPr>
              <w:t>4.1</w:t>
            </w:r>
          </w:p>
        </w:tc>
        <w:tc>
          <w:tcPr>
            <w:tcW w:w="3461" w:type="dxa"/>
            <w:tcMar>
              <w:left w:w="103" w:type="dxa"/>
            </w:tcMar>
          </w:tcPr>
          <w:p>
            <w:pPr>
              <w:rPr>
                <w:b/>
                <w:bCs/>
              </w:rPr>
            </w:pPr>
            <w:r>
              <w:rPr>
                <w:b/>
                <w:bCs/>
              </w:rPr>
              <w:t>Назва предмета закупівлі</w:t>
            </w:r>
          </w:p>
        </w:tc>
        <w:tc>
          <w:tcPr>
            <w:tcW w:w="6655" w:type="dxa"/>
            <w:tcMar>
              <w:left w:w="103" w:type="dxa"/>
            </w:tcMar>
          </w:tcPr>
          <w:tbl>
            <w:tblPr>
              <w:tblStyle w:val="3"/>
              <w:tblW w:w="7310" w:type="dxa"/>
              <w:tblInd w:w="0" w:type="dxa"/>
              <w:tblLayout w:type="fixed"/>
              <w:tblCellMar>
                <w:top w:w="0" w:type="dxa"/>
                <w:left w:w="28" w:type="dxa"/>
                <w:bottom w:w="0" w:type="dxa"/>
                <w:right w:w="28" w:type="dxa"/>
              </w:tblCellMar>
            </w:tblPr>
            <w:tblGrid>
              <w:gridCol w:w="7310"/>
            </w:tblGrid>
            <w:tr>
              <w:tblPrEx>
                <w:tblCellMar>
                  <w:top w:w="0" w:type="dxa"/>
                  <w:left w:w="28" w:type="dxa"/>
                  <w:bottom w:w="0" w:type="dxa"/>
                  <w:right w:w="28" w:type="dxa"/>
                </w:tblCellMar>
              </w:tblPrEx>
              <w:trPr>
                <w:trHeight w:val="218" w:hRule="atLeast"/>
              </w:trPr>
              <w:tc>
                <w:tcPr>
                  <w:tcW w:w="7310" w:type="dxa"/>
                </w:tcPr>
                <w:p>
                  <w:pPr>
                    <w:rPr>
                      <w:color w:val="000000"/>
                      <w:lang w:eastAsia="uk-UA" w:bidi="uk-UA"/>
                    </w:rPr>
                  </w:pPr>
                  <w:r>
                    <w:rPr>
                      <w:color w:val="000000"/>
                      <w:lang w:eastAsia="uk-UA" w:bidi="uk-UA"/>
                    </w:rPr>
                    <w:t>Шини для вантажних автомобілів</w:t>
                  </w:r>
                  <w:r>
                    <w:rPr>
                      <w:color w:val="000000"/>
                      <w:lang w:bidi="en-US"/>
                    </w:rPr>
                    <w:t xml:space="preserve"> </w:t>
                  </w:r>
                  <w:r>
                    <w:rPr>
                      <w:color w:val="000000"/>
                      <w:lang w:bidi="ru-RU"/>
                    </w:rPr>
                    <w:t xml:space="preserve">код ДК </w:t>
                  </w:r>
                  <w:r>
                    <w:rPr>
                      <w:color w:val="000000"/>
                      <w:lang w:bidi="en-US"/>
                    </w:rPr>
                    <w:t>021:2015</w:t>
                  </w:r>
                  <w:r>
                    <w:rPr>
                      <w:color w:val="000000"/>
                      <w:lang w:eastAsia="uk-UA" w:bidi="uk-UA"/>
                    </w:rPr>
                    <w:t>:34350000-5 «Шини для транспортних засобів великої та малої тоннажності»</w:t>
                  </w:r>
                </w:p>
                <w:p>
                  <w:pPr>
                    <w:rPr>
                      <w:color w:val="000000"/>
                      <w:lang w:eastAsia="uk-UA" w:bidi="uk-UA"/>
                    </w:rPr>
                  </w:pPr>
                  <w:r>
                    <w:rPr>
                      <w:color w:val="000000"/>
                      <w:lang w:eastAsia="uk-UA" w:bidi="uk-UA"/>
                    </w:rPr>
                    <w:t>«Шини для вантажних автомобілів» код ДК 021:2015:34352100-0</w:t>
                  </w:r>
                </w:p>
                <w:p>
                  <w:pPr>
                    <w:rPr>
                      <w:color w:val="FFC000"/>
                      <w:lang w:val="ru-RU" w:eastAsia="uk-UA" w:bidi="uk-UA"/>
                    </w:rPr>
                  </w:pPr>
                  <w:r>
                    <w:t xml:space="preserve">(надалі по тексту – товар) </w:t>
                  </w:r>
                  <w:r>
                    <w:rPr>
                      <w:color w:val="FFC000"/>
                      <w:lang w:eastAsia="uk-UA"/>
                    </w:rPr>
                    <mc:AlternateContent>
                      <mc:Choice Requires="wps">
                        <w:drawing>
                          <wp:inline distT="0" distB="0" distL="114300" distR="114300">
                            <wp:extent cx="635" cy="0"/>
                            <wp:effectExtent l="0" t="0" r="0" b="0"/>
                            <wp:docPr id="7" name="Автофігури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Автофігури 7" o:spid="_x0000_s1026" o:spt="1" style="height:0pt;width:0.05pt;" filled="f" stroked="t" coordsize="21600,21600" o:gfxdata="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">
                            <v:fill on="f" focussize="0,0"/>
                            <v:stroke color="#000000" joinstyle="miter"/>
                            <v:imagedata o:title=""/>
                            <o:lock v:ext="edit" aspectratio="t"/>
                            <w10:wrap type="none"/>
                            <w10:anchorlock/>
                          </v:rect>
                        </w:pict>
                      </mc:Fallback>
                    </mc:AlternateContent>
                  </w:r>
                </w:p>
                <w:p>
                  <w:pPr>
                    <w:rPr>
                      <w:lang w:eastAsia="uk-UA" w:bidi="uk-UA"/>
                    </w:rPr>
                  </w:pPr>
                  <w:r>
                    <w:rPr>
                      <w:lang w:eastAsia="uk-UA" w:bidi="uk-UA"/>
                    </w:rPr>
                    <w:t>«Автомобільні</w:t>
                  </w:r>
                  <w:r>
                    <w:rPr>
                      <w:lang w:val="ru-RU" w:eastAsia="uk-UA" w:bidi="uk-UA"/>
                    </w:rPr>
                    <w:t xml:space="preserve"> шини</w:t>
                  </w:r>
                  <w:r>
                    <w:rPr>
                      <w:lang w:eastAsia="uk-UA" w:bidi="uk-UA"/>
                    </w:rPr>
                    <w:t>»</w:t>
                  </w:r>
                  <w:r>
                    <w:rPr>
                      <w:lang w:val="ru-RU" w:eastAsia="uk-UA" w:bidi="uk-UA"/>
                    </w:rPr>
                    <w:t xml:space="preserve"> код ДК 021:2015: 34351100-3</w:t>
                  </w:r>
                  <w:r>
                    <w:rPr>
                      <w:lang w:eastAsia="uk-UA" w:bidi="uk-UA"/>
                    </w:rPr>
                    <w:t xml:space="preserve"> (надалі по</w:t>
                  </w:r>
                  <w:r>
                    <w:rPr>
                      <w:lang w:val="ru-RU" w:eastAsia="uk-UA" w:bidi="uk-UA"/>
                    </w:rPr>
                    <w:t xml:space="preserve"> тексту</w:t>
                  </w:r>
                  <w:r>
                    <w:rPr>
                      <w:lang w:eastAsia="uk-UA" w:bidi="uk-UA"/>
                    </w:rPr>
                    <w:t>– товар)</w:t>
                  </w:r>
                </w:p>
                <w:p>
                  <w:pPr>
                    <w:rPr>
                      <w:rFonts w:eastAsia="Calibri"/>
                    </w:rPr>
                  </w:pPr>
                </w:p>
              </w:tc>
            </w:tr>
          </w:tbl>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709" w:hRule="atLeast"/>
          <w:jc w:val="center"/>
        </w:trPr>
        <w:tc>
          <w:tcPr>
            <w:tcW w:w="571" w:type="dxa"/>
            <w:gridSpan w:val="2"/>
            <w:tcMar>
              <w:left w:w="103" w:type="dxa"/>
            </w:tcMar>
          </w:tcPr>
          <w:p>
            <w:pPr>
              <w:rPr>
                <w:b/>
                <w:bCs/>
              </w:rPr>
            </w:pPr>
            <w:r>
              <w:rPr>
                <w:b/>
                <w:bCs/>
              </w:rPr>
              <w:t>4.2</w:t>
            </w:r>
          </w:p>
        </w:tc>
        <w:tc>
          <w:tcPr>
            <w:tcW w:w="3461" w:type="dxa"/>
            <w:tcMar>
              <w:left w:w="103" w:type="dxa"/>
            </w:tcMar>
          </w:tcPr>
          <w:p>
            <w:pPr>
              <w:rPr>
                <w:b/>
                <w:bCs/>
              </w:rPr>
            </w:pPr>
            <w:r>
              <w:rPr>
                <w:b/>
                <w:bCs/>
              </w:rPr>
              <w:t>Опис окремої частини (частин) предмета закупівлі (лота), щодо якої можуть бути подані тендерні пропозиції</w:t>
            </w:r>
          </w:p>
        </w:tc>
        <w:tc>
          <w:tcPr>
            <w:tcW w:w="6655" w:type="dxa"/>
            <w:tcMar>
              <w:left w:w="103" w:type="dxa"/>
            </w:tcMar>
            <w:vAlign w:val="center"/>
          </w:tcPr>
          <w:p/>
          <w:p/>
          <w:p>
            <w:r>
              <w:t>Закупівля здійснюється без поділу на лоти.</w:t>
            </w:r>
          </w:p>
          <w:p/>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8" w:hRule="atLeast"/>
          <w:jc w:val="center"/>
        </w:trPr>
        <w:tc>
          <w:tcPr>
            <w:tcW w:w="571" w:type="dxa"/>
            <w:gridSpan w:val="2"/>
            <w:tcMar>
              <w:left w:w="103" w:type="dxa"/>
            </w:tcMar>
          </w:tcPr>
          <w:p>
            <w:pPr>
              <w:rPr>
                <w:b/>
                <w:bCs/>
              </w:rPr>
            </w:pPr>
            <w:r>
              <w:rPr>
                <w:b/>
                <w:bCs/>
              </w:rPr>
              <w:t>4.3</w:t>
            </w:r>
          </w:p>
        </w:tc>
        <w:tc>
          <w:tcPr>
            <w:tcW w:w="3461" w:type="dxa"/>
            <w:tcMar>
              <w:left w:w="103" w:type="dxa"/>
            </w:tcMar>
          </w:tcPr>
          <w:p>
            <w:pPr>
              <w:rPr>
                <w:b/>
                <w:bCs/>
              </w:rPr>
            </w:pPr>
            <w:r>
              <w:rPr>
                <w:b/>
                <w:bCs/>
              </w:rPr>
              <w:t>Місце поставки товару та кількість</w:t>
            </w:r>
          </w:p>
        </w:tc>
        <w:tc>
          <w:tcPr>
            <w:tcW w:w="6655" w:type="dxa"/>
            <w:tcMar>
              <w:left w:w="103" w:type="dxa"/>
            </w:tcMar>
          </w:tcPr>
          <w:p>
            <w:r>
              <w:t>Місце поставки: вул. Соборна, будинок 3а, смт Голованівськ Голованівський район Кіровоградська область, 26500</w:t>
            </w:r>
          </w:p>
          <w:p>
            <w:r>
              <w:t>Всього: 2</w:t>
            </w:r>
            <w:r>
              <w:rPr>
                <w:rFonts w:hint="default"/>
                <w:lang w:val="uk-UA"/>
              </w:rPr>
              <w:t>1</w:t>
            </w:r>
            <w:r>
              <w:t xml:space="preserve"> штук</w:t>
            </w:r>
          </w:p>
          <w:p>
            <w:pPr>
              <w:rPr>
                <w:rFonts w:eastAsia="Calibri"/>
              </w:rPr>
            </w:pPr>
            <w:r>
              <w:rPr>
                <w:rFonts w:eastAsia="Calibri"/>
              </w:rPr>
              <w:t xml:space="preserv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23" w:hRule="atLeast"/>
          <w:jc w:val="center"/>
        </w:trPr>
        <w:tc>
          <w:tcPr>
            <w:tcW w:w="571" w:type="dxa"/>
            <w:gridSpan w:val="2"/>
            <w:shd w:val="clear" w:color="auto" w:fill="auto"/>
            <w:tcMar>
              <w:left w:w="103" w:type="dxa"/>
            </w:tcMar>
          </w:tcPr>
          <w:p>
            <w:pPr>
              <w:rPr>
                <w:b/>
                <w:bCs/>
              </w:rPr>
            </w:pPr>
            <w:r>
              <w:rPr>
                <w:b/>
                <w:bCs/>
              </w:rPr>
              <w:t>4.4.</w:t>
            </w:r>
          </w:p>
        </w:tc>
        <w:tc>
          <w:tcPr>
            <w:tcW w:w="3461" w:type="dxa"/>
            <w:shd w:val="clear" w:color="auto" w:fill="auto"/>
            <w:tcMar>
              <w:left w:w="103" w:type="dxa"/>
            </w:tcMar>
          </w:tcPr>
          <w:p>
            <w:pPr>
              <w:rPr>
                <w:b/>
                <w:bCs/>
              </w:rPr>
            </w:pPr>
            <w:r>
              <w:rPr>
                <w:b/>
                <w:bCs/>
              </w:rPr>
              <w:t>Строк поставки товару</w:t>
            </w:r>
          </w:p>
        </w:tc>
        <w:tc>
          <w:tcPr>
            <w:tcW w:w="6655" w:type="dxa"/>
            <w:shd w:val="clear" w:color="auto" w:fill="auto"/>
            <w:tcMar>
              <w:left w:w="103" w:type="dxa"/>
            </w:tcMar>
          </w:tcPr>
          <w:p>
            <w:pPr>
              <w:jc w:val="both"/>
            </w:pPr>
            <w:r>
              <w:t>Термін поставки товару до 25.05.2023.</w:t>
            </w:r>
            <w:r>
              <w:rPr>
                <w:color w:val="FFC000"/>
              </w:rPr>
              <w:t xml:space="preserv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75" w:hRule="atLeast"/>
          <w:jc w:val="center"/>
        </w:trPr>
        <w:tc>
          <w:tcPr>
            <w:tcW w:w="571" w:type="dxa"/>
            <w:gridSpan w:val="2"/>
            <w:tcMar>
              <w:left w:w="103" w:type="dxa"/>
            </w:tcMar>
          </w:tcPr>
          <w:p>
            <w:pPr>
              <w:rPr>
                <w:b/>
                <w:bCs/>
              </w:rPr>
            </w:pPr>
            <w:r>
              <w:rPr>
                <w:b/>
                <w:bCs/>
              </w:rPr>
              <w:t>5</w:t>
            </w:r>
          </w:p>
        </w:tc>
        <w:tc>
          <w:tcPr>
            <w:tcW w:w="3461" w:type="dxa"/>
            <w:tcMar>
              <w:left w:w="103" w:type="dxa"/>
            </w:tcMar>
          </w:tcPr>
          <w:p>
            <w:pPr>
              <w:rPr>
                <w:b/>
                <w:bCs/>
              </w:rPr>
            </w:pPr>
            <w:r>
              <w:rPr>
                <w:b/>
                <w:bCs/>
              </w:rPr>
              <w:t>Недискримінація учасників</w:t>
            </w:r>
          </w:p>
        </w:tc>
        <w:tc>
          <w:tcPr>
            <w:tcW w:w="6655" w:type="dxa"/>
            <w:tcMar>
              <w:left w:w="103" w:type="dxa"/>
            </w:tcMar>
          </w:tcPr>
          <w:p>
            <w:pPr>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jc w:val="both"/>
            </w:pPr>
            <w:r>
              <w:t>Замовник забезпечує вільний доступ усіх учасників до інформації про закупівлю.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30" w:hRule="atLeast"/>
          <w:jc w:val="center"/>
        </w:trPr>
        <w:tc>
          <w:tcPr>
            <w:tcW w:w="571" w:type="dxa"/>
            <w:gridSpan w:val="2"/>
            <w:tcMar>
              <w:left w:w="103" w:type="dxa"/>
            </w:tcMar>
          </w:tcPr>
          <w:p>
            <w:pPr>
              <w:rPr>
                <w:b/>
                <w:bCs/>
              </w:rPr>
            </w:pPr>
            <w:r>
              <w:rPr>
                <w:b/>
                <w:bCs/>
              </w:rPr>
              <w:t>6</w:t>
            </w:r>
          </w:p>
        </w:tc>
        <w:tc>
          <w:tcPr>
            <w:tcW w:w="3461" w:type="dxa"/>
            <w:tcMar>
              <w:left w:w="103" w:type="dxa"/>
            </w:tcMar>
          </w:tcPr>
          <w:p>
            <w:pPr>
              <w:rPr>
                <w:b/>
                <w:bCs/>
              </w:rPr>
            </w:pPr>
            <w:r>
              <w:rPr>
                <w:b/>
                <w:bCs/>
              </w:rPr>
              <w:t>Інформація про валюту, у якій повинно бути розраховано та зазначено ціну тендерної пропозиції</w:t>
            </w:r>
          </w:p>
        </w:tc>
        <w:tc>
          <w:tcPr>
            <w:tcW w:w="6655" w:type="dxa"/>
            <w:tcMar>
              <w:left w:w="103" w:type="dxa"/>
            </w:tcMar>
          </w:tcPr>
          <w:p>
            <w:pPr>
              <w:jc w:val="both"/>
            </w:pPr>
            <w:r>
              <w:t xml:space="preserve">   Валютою тендерної пропозиції є національна валюта України - гривня.</w:t>
            </w:r>
          </w:p>
          <w:p>
            <w:pPr>
              <w:jc w:val="both"/>
            </w:pPr>
            <w:r>
              <w:t xml:space="preserve">   У разі, якщо учасником процедури закупівлі є нерезидент,  такий учасник зазначає ціну пропозиції в електронній системі закупівель у валюті України – гривня.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377" w:hRule="atLeast"/>
          <w:jc w:val="center"/>
        </w:trPr>
        <w:tc>
          <w:tcPr>
            <w:tcW w:w="571" w:type="dxa"/>
            <w:gridSpan w:val="2"/>
            <w:tcMar>
              <w:left w:w="103" w:type="dxa"/>
            </w:tcMar>
          </w:tcPr>
          <w:p>
            <w:pPr>
              <w:rPr>
                <w:b/>
                <w:bCs/>
              </w:rPr>
            </w:pPr>
            <w:r>
              <w:rPr>
                <w:b/>
                <w:bCs/>
              </w:rPr>
              <w:t>7</w:t>
            </w:r>
          </w:p>
        </w:tc>
        <w:tc>
          <w:tcPr>
            <w:tcW w:w="3461" w:type="dxa"/>
            <w:tcMar>
              <w:left w:w="103" w:type="dxa"/>
            </w:tcMar>
          </w:tcPr>
          <w:p>
            <w:pPr>
              <w:rPr>
                <w:b/>
                <w:bCs/>
              </w:rPr>
            </w:pPr>
            <w:r>
              <w:rPr>
                <w:b/>
                <w:bCs/>
              </w:rPr>
              <w:t>Інформація про мову (мови), якою (якими) повинні бути складені тендерні пропозиції</w:t>
            </w:r>
          </w:p>
        </w:tc>
        <w:tc>
          <w:tcPr>
            <w:tcW w:w="6655" w:type="dxa"/>
            <w:tcMar>
              <w:left w:w="103" w:type="dxa"/>
            </w:tcMar>
          </w:tcPr>
          <w:p>
            <w:pPr>
              <w:ind w:firstLine="83"/>
              <w:jc w:val="both"/>
            </w:pPr>
            <w:r>
              <w:t>Під час проведення процедури закупівлі тендерна пропозиція та усі документи у складі тендерної пропозиції складаються на українській мові.</w:t>
            </w:r>
          </w:p>
          <w:p>
            <w:pPr>
              <w:jc w:val="both"/>
            </w:pPr>
            <w:r>
              <w:t xml:space="preserve">   Умовні позначення у вигляді скорочень та термінологія, пов’язана з товаром, роботами,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pPr>
            <w:r>
              <w:t xml:space="preserve">   Уся інформація розміщується в електронній системі закупівель українською мовою, виключення можуть становити: адреси сайтів в мережі Інтернет, адреси електронної пошти, назва та позначення міжнародних стандартів, протоколів, сертифікатів, торгівельної марки.</w:t>
            </w:r>
          </w:p>
          <w:p>
            <w:pPr>
              <w:ind w:firstLine="224"/>
              <w:jc w:val="both"/>
            </w:pPr>
            <w:r>
              <w:t>У разі розміщення учасником відкритих торгів в електронній системі закупівель питань, звернень, вимог та/або інформації (документів) у складі тендерної пропозиції, які складені іншою мовою, ніж українська, такі питання, звернення, вимоги та/або документи надаються мовою оригіналу разом із їх автентичним перекладом на українську мову. Без перекладу на українську мову такі питання, вимоги, звернення та/або інформація (документи) замовником не розглядаються по суті.</w:t>
            </w:r>
          </w:p>
          <w:p>
            <w:pPr>
              <w:jc w:val="both"/>
            </w:pPr>
            <w:r>
              <w:t xml:space="preserve">    Переклад тексту документу, що подається у складі тендерної пропозиції, на українську мову може бути виконано перекладачем (фізичною особою) або бюро перекладів, або нотаріусом, або іншим суб’єктом господарювання, установою, тощо, які надають професійні послуги з перекладу на інші мови. Вірність змісту перекладеного документу оригіналу засвідчується підписом представника бюро перекладів або підписом представника іншого суб’єкта господарювання, установи, тощо, які надають професійні послуги з перекладу на інші мови. Підпис завірителя документу засвідчується печаткою (у разі її застосування). </w:t>
            </w:r>
          </w:p>
          <w:p>
            <w:pPr>
              <w:jc w:val="both"/>
            </w:pPr>
            <w:r>
              <w:t xml:space="preserve">   У разі перекладу тексту перекладачем (фізичною особою) або нотаріусом, вірність перекладу засвідчується нотаріально.</w:t>
            </w:r>
          </w:p>
          <w:p>
            <w:pPr>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10687" w:type="dxa"/>
            <w:gridSpan w:val="4"/>
            <w:tcMar>
              <w:left w:w="103" w:type="dxa"/>
            </w:tcMar>
            <w:vAlign w:val="center"/>
          </w:tcPr>
          <w:p>
            <w:pPr>
              <w:jc w:val="center"/>
              <w:rPr>
                <w:b/>
                <w:bCs/>
              </w:rPr>
            </w:pPr>
            <w:r>
              <w:rPr>
                <w:b/>
                <w:bCs/>
              </w:rPr>
              <w:t>Розділ 2. Порядок внесення змін та надання роз’яснень до тендерної документації</w:t>
            </w:r>
          </w:p>
          <w:p>
            <w:pPr>
              <w:jc w:val="cente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424" w:hRule="atLeast"/>
          <w:jc w:val="center"/>
        </w:trPr>
        <w:tc>
          <w:tcPr>
            <w:tcW w:w="571" w:type="dxa"/>
            <w:gridSpan w:val="2"/>
            <w:tcMar>
              <w:left w:w="103" w:type="dxa"/>
            </w:tcMar>
          </w:tcPr>
          <w:p>
            <w:pPr>
              <w:rPr>
                <w:b/>
                <w:bCs/>
              </w:rPr>
            </w:pPr>
          </w:p>
          <w:p>
            <w:pPr>
              <w:rPr>
                <w:b/>
                <w:bCs/>
              </w:rPr>
            </w:pPr>
            <w:r>
              <w:rPr>
                <w:b/>
                <w:bCs/>
              </w:rPr>
              <w:t>1</w:t>
            </w:r>
          </w:p>
        </w:tc>
        <w:tc>
          <w:tcPr>
            <w:tcW w:w="3461" w:type="dxa"/>
            <w:tcMar>
              <w:left w:w="103" w:type="dxa"/>
            </w:tcMar>
          </w:tcPr>
          <w:p>
            <w:pPr>
              <w:rPr>
                <w:b/>
                <w:bCs/>
              </w:rPr>
            </w:pPr>
          </w:p>
          <w:p>
            <w:pPr>
              <w:rPr>
                <w:b/>
                <w:bCs/>
              </w:rPr>
            </w:pPr>
            <w:r>
              <w:rPr>
                <w:b/>
                <w:bCs/>
              </w:rPr>
              <w:t>Надання роз’яснень щодо тендерної документації</w:t>
            </w:r>
          </w:p>
          <w:p>
            <w:pPr>
              <w:rPr>
                <w:b/>
                <w:bCs/>
              </w:rPr>
            </w:pPr>
          </w:p>
        </w:tc>
        <w:tc>
          <w:tcPr>
            <w:tcW w:w="6655" w:type="dxa"/>
            <w:tcMar>
              <w:left w:w="103" w:type="dxa"/>
            </w:tcMar>
          </w:tcPr>
          <w:p>
            <w:pPr>
              <w:ind w:firstLine="223"/>
              <w:jc w:val="both"/>
            </w:pPr>
            <w: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оприлюднення учасником в електронній системі закупівель звернення надати роз’яснення на звернення шляхом оприлюднення його в електронній системі закупівель.</w:t>
            </w:r>
          </w:p>
          <w:p>
            <w:pPr>
              <w:ind w:firstLine="223"/>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ind w:firstLine="223"/>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pPr>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83" w:hRule="atLeast"/>
          <w:jc w:val="center"/>
        </w:trPr>
        <w:tc>
          <w:tcPr>
            <w:tcW w:w="571" w:type="dxa"/>
            <w:gridSpan w:val="2"/>
            <w:tcMar>
              <w:left w:w="103" w:type="dxa"/>
            </w:tcMar>
          </w:tcPr>
          <w:p>
            <w:pPr>
              <w:rPr>
                <w:b/>
                <w:bCs/>
              </w:rPr>
            </w:pPr>
            <w:r>
              <w:rPr>
                <w:b/>
                <w:bCs/>
              </w:rPr>
              <w:t>2</w:t>
            </w:r>
          </w:p>
        </w:tc>
        <w:tc>
          <w:tcPr>
            <w:tcW w:w="3461" w:type="dxa"/>
            <w:tcMar>
              <w:left w:w="103" w:type="dxa"/>
            </w:tcMar>
          </w:tcPr>
          <w:p>
            <w:pPr>
              <w:rPr>
                <w:b/>
                <w:bCs/>
              </w:rPr>
            </w:pPr>
            <w:r>
              <w:rPr>
                <w:b/>
                <w:bCs/>
              </w:rPr>
              <w:t>Внесення змін до тендерної документації</w:t>
            </w:r>
          </w:p>
          <w:p>
            <w:pPr>
              <w:rPr>
                <w:b/>
                <w:bCs/>
              </w:rPr>
            </w:pPr>
            <w:bookmarkStart w:id="3" w:name="n432"/>
            <w:bookmarkEnd w:id="3"/>
          </w:p>
        </w:tc>
        <w:tc>
          <w:tcPr>
            <w:tcW w:w="6655" w:type="dxa"/>
            <w:tcMar>
              <w:left w:w="103" w:type="dxa"/>
            </w:tcMar>
          </w:tcPr>
          <w:p>
            <w:pPr>
              <w:ind w:firstLine="223"/>
              <w:jc w:val="both"/>
            </w:pPr>
            <w: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pPr>
              <w:tabs>
                <w:tab w:val="left" w:pos="196"/>
              </w:tabs>
              <w:jc w:val="both"/>
            </w:pPr>
            <w: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pPr>
            <w: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jc w:val="both"/>
            </w:pPr>
            <w: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10687" w:type="dxa"/>
            <w:gridSpan w:val="4"/>
            <w:tcMar>
              <w:left w:w="103" w:type="dxa"/>
            </w:tcMar>
            <w:vAlign w:val="center"/>
          </w:tcPr>
          <w:p>
            <w:pPr>
              <w:jc w:val="center"/>
              <w:rPr>
                <w:b/>
                <w:bCs/>
              </w:rPr>
            </w:pPr>
            <w:r>
              <w:rPr>
                <w:b/>
                <w:bCs/>
              </w:rPr>
              <w:t>Розділ 3. Інструкція з підготовки тендерної пропозиції</w:t>
            </w:r>
          </w:p>
          <w:p>
            <w:pPr>
              <w:jc w:val="both"/>
              <w:rPr>
                <w:b/>
                <w:bC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tcMar>
              <w:left w:w="103" w:type="dxa"/>
            </w:tcMar>
          </w:tcPr>
          <w:p>
            <w:pPr>
              <w:rPr>
                <w:b/>
                <w:bCs/>
              </w:rPr>
            </w:pPr>
            <w:r>
              <w:rPr>
                <w:b/>
                <w:bCs/>
              </w:rPr>
              <w:t>1</w:t>
            </w:r>
          </w:p>
        </w:tc>
        <w:tc>
          <w:tcPr>
            <w:tcW w:w="3461" w:type="dxa"/>
            <w:tcMar>
              <w:left w:w="103" w:type="dxa"/>
            </w:tcMar>
          </w:tcPr>
          <w:p>
            <w:pPr>
              <w:rPr>
                <w:b/>
                <w:bCs/>
              </w:rPr>
            </w:pPr>
            <w:r>
              <w:rPr>
                <w:b/>
                <w:bCs/>
              </w:rPr>
              <w:t>Зміст і спосіб подання тендерної пропозиції</w:t>
            </w:r>
          </w:p>
        </w:tc>
        <w:tc>
          <w:tcPr>
            <w:tcW w:w="6655" w:type="dxa"/>
            <w:tcMar>
              <w:left w:w="103" w:type="dxa"/>
            </w:tcMar>
          </w:tcPr>
          <w:p>
            <w:pPr>
              <w:jc w:val="both"/>
            </w:pPr>
            <w:r>
              <w:t xml:space="preserve">    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разом з інформацією від учасника щодо його відповідності кваліфікаційному критерію/кваліфікаційним критеріям, у разі їх встановлення замовником згідно статті 16 Закону та тих, що підтверджують наявність/відсутність підстав, визначених в пункті 47 Особливостей, у спосіб визначений даною тендерною документацією та в додатках до неї, зокрема шляхом оприлюднення в електронній системі закупівель: </w:t>
            </w:r>
          </w:p>
          <w:p>
            <w:pPr>
              <w:jc w:val="both"/>
            </w:pPr>
            <w:r>
              <w:t>1) інформації та документів про відповідність учасника кваліфікаційному(ним) критерію(ям), у разі їх встановлення замовником відповідно до статті 16 Закону, з урахуванням рекомендацій, наведених у Додатку  1 до тендерної документації;</w:t>
            </w:r>
          </w:p>
          <w:p>
            <w:pPr>
              <w:jc w:val="both"/>
            </w:pPr>
            <w:r>
              <w:t xml:space="preserve">2) інформації про наявність/відсутність підстав, визначених в пункті 47 Особливостей, з урахуванням рекомендацій, наведених у Додатку  1 до тендерної документації; </w:t>
            </w:r>
          </w:p>
          <w:p>
            <w:pPr>
              <w:jc w:val="both"/>
            </w:pPr>
            <w:r>
              <w:t>3) інформації та документів про підтвердження відповідності предмета закупівлі, що пропонується учасником, вимогам, які визначені замовником в тендерній документації щодо технічних, кількісних, якісних та інших характеристик предмета закупівлі з урахуванням вимог, викладених в  Додатку 2 (Технічна специфікація) до тендерної документації;</w:t>
            </w:r>
          </w:p>
          <w:p>
            <w:pPr>
              <w:jc w:val="both"/>
            </w:pPr>
            <w:r>
              <w:t xml:space="preserve">4) документів, що підтверджують повноваження учасника/ уповноваженої особи учасника щодо підпису тендерної пропозиції та документів у її складі. </w:t>
            </w:r>
          </w:p>
          <w:p>
            <w:pPr>
              <w:jc w:val="both"/>
            </w:pPr>
            <w:r>
              <w:t xml:space="preserve">    Якщо підписантом тендерної пропозиції та документації є керівник учасника процедури закупівлі (юридичної особи), який діє на підставі Статуту/Положення/іншого установчого документу або учасником є фізична особа/фізична особа-підприємець - замовник самостійно перевіряє повноваження підписанта тендерної пропозиції шляхом звіряння інформації, яку містить електронний підпис (КЕП/УЕП), накладений учасником/уповноваженою особою учасника на тендерну пропозицію з інформацією, яка наявна в Єдиному державному реєстрі юридичних осіб, фізичних осіб-підприємців та громадських формувань або в інших відкритих публічних електронних реєстрах, доступ до яких є вільним.</w:t>
            </w:r>
          </w:p>
          <w:p>
            <w:pPr>
              <w:jc w:val="both"/>
            </w:pPr>
            <w:r>
              <w:t xml:space="preserve">   Для осіб, що уповноважені представляти інтереси учасника під час проведення процедури закупівлі та, які не входять до кола осіб, що мають повноваження представляти інтереси учасника згідно установчих документів учасник надає  довіреність, яка має бути чинна на день подання тендерної пропозиції. Довіреність має бути оформлена відповідно до вимог чинного законодавства України. В довіреності визначаються повноваження повіреного щодо його права представляти інтереси учасника в процедурі закупівлі та підпису тендерної пропозиції, іншої документації у її складі. На підтвердження повноважень посадової (службової) особи учасника, яка видала від імені учасника на ім’я повіреного довіреність, учасник в складі тендерної пропозиції надає витяг з Статуту або Положення, тощо) з переліком повноважень такої посадової (службової) особи, зокрема, щодо права видавати від імені учасника довіреність;</w:t>
            </w:r>
          </w:p>
          <w:p>
            <w:pPr>
              <w:jc w:val="both"/>
            </w:pPr>
            <w:r>
              <w:t xml:space="preserve">5) іншої інформації та/або документів, подання яких визначено умовами тендерної документації та додатками до неї. </w:t>
            </w:r>
          </w:p>
          <w:p>
            <w:pPr>
              <w:jc w:val="both"/>
            </w:pPr>
            <w:r>
              <w:t xml:space="preserve">    Додатки до тендерної документації є невід’ємною складовою (розділами) тендерної документації. </w:t>
            </w:r>
          </w:p>
          <w:p>
            <w:pPr>
              <w:jc w:val="both"/>
            </w:pPr>
            <w:r>
              <w:t xml:space="preserve">   Документи, що не передбачені законодавством для учасників: юридичних, фізичних осіб, у тому числі, фізичних осіб – підприємців ними не подаються, і їх відсутність у складі тендерної пропозиції не може бути підставою для відхилення замовником їх тендерних пропозицій. Учасник в складі своєї тендерної пропозиції повинен надати письмово пояснення  про причини неподання відповідної інформації та/або документа з посиланням на норми права.</w:t>
            </w:r>
          </w:p>
          <w:p>
            <w:pPr>
              <w:jc w:val="both"/>
            </w:pPr>
            <w: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на українську мову. </w:t>
            </w:r>
          </w:p>
          <w:p>
            <w:pPr>
              <w:jc w:val="both"/>
            </w:pPr>
            <w:r>
              <w:t xml:space="preserve">   Якщо тендерна пропозиція подається учасником нерезидентом, такий учасник надає документи, що передбачені цією тендерною документацією з урахуванням  вимог країни його реєстрації. Документи мають бути легалізовані у встановленому чинним законодавством України порядку.</w:t>
            </w:r>
          </w:p>
          <w:p>
            <w:pPr>
              <w:jc w:val="both"/>
            </w:pPr>
            <w:r>
              <w:t xml:space="preserve">    Якщо тендерна пропозиція  подається об’єднанням учасників, то до тендерної пропозиції учасник має долучити документ про створення такого об’єднання.</w:t>
            </w:r>
          </w:p>
          <w:p>
            <w:pPr>
              <w:jc w:val="both"/>
            </w:pPr>
            <w:r>
              <w:t xml:space="preserve">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fldChar w:fldCharType="begin"/>
            </w:r>
            <w:r>
              <w:instrText xml:space="preserve"> HYPERLINK "https://zakon.rada.gov.ua/laws/show/851-15" \h </w:instrText>
            </w:r>
            <w:r>
              <w:fldChar w:fldCharType="separate"/>
            </w:r>
            <w:r>
              <w:rPr>
                <w:rStyle w:val="9"/>
                <w:color w:val="auto"/>
                <w:u w:val="none"/>
              </w:rPr>
              <w:t>"Про електронні документи та електронний документообіг"</w:t>
            </w:r>
            <w:r>
              <w:rPr>
                <w:rStyle w:val="9"/>
                <w:color w:val="auto"/>
                <w:u w:val="none"/>
              </w:rPr>
              <w:fldChar w:fldCharType="end"/>
            </w:r>
            <w:r>
              <w:t xml:space="preserve"> та </w:t>
            </w:r>
            <w:r>
              <w:fldChar w:fldCharType="begin"/>
            </w:r>
            <w:r>
              <w:instrText xml:space="preserve"> HYPERLINK "https://zakon.rada.gov.ua/laws/show/2155-19" \h </w:instrText>
            </w:r>
            <w:r>
              <w:fldChar w:fldCharType="separate"/>
            </w:r>
            <w:r>
              <w:rPr>
                <w:rStyle w:val="9"/>
                <w:color w:val="auto"/>
                <w:u w:val="none"/>
              </w:rPr>
              <w:t>"Про електронні довірчі послуги"</w:t>
            </w:r>
            <w:r>
              <w:rPr>
                <w:rStyle w:val="9"/>
                <w:color w:val="auto"/>
                <w:u w:val="none"/>
              </w:rPr>
              <w:fldChar w:fldCharType="end"/>
            </w:r>
            <w:r>
              <w:t>, а саме шляхом заповнення електронних полів, реалізованих в електронній системі закупівель та завантаження документів у складі тендерної пропозиції .</w:t>
            </w:r>
          </w:p>
          <w:p>
            <w:pPr>
              <w:jc w:val="both"/>
            </w:pPr>
            <w:r>
              <w:t xml:space="preserve">   Учасник або уповноважена особа учасника процедури закупівлі під час подання тендерної пропозиції має накласти на всю тендерну пропозицію разом з додатками удосконалений електронний підпис (УЕП) або кваліфікований електронний підпис (КЕП), що базується на кваліфікованому сертифікаті електронного підпису, відповідно до вимог Закону України «Про електронні довірчі послуги».</w:t>
            </w:r>
          </w:p>
          <w:p>
            <w:pPr>
              <w:jc w:val="both"/>
            </w:pPr>
            <w:r>
              <w:t xml:space="preserve">    Кожен оригінал документу у паперовій формі у складі тендерної пропозиції виконавцем якого є  безпосередньо учасник/уповноважена особа учасника має бути власноручно підписаний учасником/уповноваженою особою учасника, мати дату складання документу та вихідний номер. Підпис автора документа засвідчується печаткою (у разі її використання). </w:t>
            </w:r>
          </w:p>
          <w:p>
            <w:pPr>
              <w:jc w:val="both"/>
            </w:pPr>
            <w:r>
              <w:t xml:space="preserve">    Якщо учасник здійснює господарську діяльність без використання  печатки, то в складі своєї тендерної пропозиції він повинен надати довідку про підтвердження даного факту.</w:t>
            </w:r>
          </w:p>
          <w:p>
            <w:pPr>
              <w:jc w:val="both"/>
            </w:pPr>
            <w:r>
              <w:t xml:space="preserve">    Замовник не вимагає від учасників засвідчувати документи, що подаються у складі тендерної пропозиції, печаткою та власноручним підписом уповноваженої особи, якщо такі документи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jc w:val="both"/>
            </w:pPr>
            <w:r>
              <w:t xml:space="preserve">   Документи у складі тендерної пропозиції завантажуються в електронну систему закупівель у вигляді сканованих копій з оригіналу та/або копій документів у паперовій формі, придатних для машино зчитування (у вигляді pdf - формату файлу), та/або у вигляді електронного документу, який містить обов’язкові реквізити, згідно вимог чинного законодавства України, із накладенням електронного підпису на такий документ, що базується на кваліфікованому сертифікаті електронного підпису (КЕП/УЕП), який ідентифікує його автора/підписанта.</w:t>
            </w:r>
          </w:p>
          <w:p>
            <w:pPr>
              <w:jc w:val="both"/>
            </w:pPr>
            <w:r>
              <w:t xml:space="preserve">    Зміст та вигляд завантажених в електронній системі закупівель документів повинен відповідати їх оригіналам .</w:t>
            </w:r>
          </w:p>
          <w:p>
            <w:pPr>
              <w:jc w:val="both"/>
            </w:pPr>
            <w:r>
              <w:t xml:space="preserve">    Під час перевірки замовником КЕП/УЕП повинні відображатися: прізвище та ім’я, по-батькові учасника/уповноваженої особи учасника на підписання тендерної пропозиції. Якщо учасник є юридичною особою, крім прізвища, ім’я, по-батькові уповноваженої особи на підписання тендерної пропозиції КЕП/УЕП має містити назву учасника (юридичної особи та її ідентифікаційний код (ЄДРПОУ)).</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tcMar>
              <w:left w:w="103" w:type="dxa"/>
            </w:tcMar>
          </w:tcPr>
          <w:p>
            <w:pPr>
              <w:rPr>
                <w:b/>
                <w:bCs/>
              </w:rPr>
            </w:pPr>
            <w:r>
              <w:rPr>
                <w:b/>
                <w:bCs/>
              </w:rPr>
              <w:t>2</w:t>
            </w:r>
          </w:p>
        </w:tc>
        <w:tc>
          <w:tcPr>
            <w:tcW w:w="3461" w:type="dxa"/>
            <w:tcMar>
              <w:left w:w="103" w:type="dxa"/>
            </w:tcMar>
          </w:tcPr>
          <w:p>
            <w:pPr>
              <w:rPr>
                <w:b/>
                <w:bCs/>
              </w:rPr>
            </w:pPr>
            <w:r>
              <w:rPr>
                <w:b/>
                <w:bCs/>
              </w:rPr>
              <w:t>Опис та приклад формальних помилок</w:t>
            </w:r>
          </w:p>
          <w:p>
            <w:pPr>
              <w:rPr>
                <w:b/>
                <w:bCs/>
              </w:rPr>
            </w:pPr>
          </w:p>
        </w:tc>
        <w:tc>
          <w:tcPr>
            <w:tcW w:w="6655" w:type="dxa"/>
            <w:tcMar>
              <w:left w:w="103" w:type="dxa"/>
            </w:tcMar>
          </w:tcPr>
          <w:p>
            <w:pPr>
              <w:jc w:val="both"/>
            </w:pPr>
            <w: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jc w:val="both"/>
            </w:pPr>
            <w:r>
              <w:t xml:space="preserve">   Опис формальних помилок наведено у Переліку, який затверджений    </w:t>
            </w:r>
            <w:r>
              <w:fldChar w:fldCharType="begin"/>
            </w:r>
            <w:r>
              <w:instrText xml:space="preserve"> HYPERLINK "https://www.me.gov.ua/LegislativeActs/Detail?lang=uk-UA&amp;id=cb363188-0c90-42e2-93ae-c08eac899243" </w:instrText>
            </w:r>
            <w:r>
              <w:fldChar w:fldCharType="separate"/>
            </w:r>
            <w:r>
              <w:t>наказом Мінекономіки від 15.04.2020 № 710 "Про затвердження Переліку формальних помилок"</w:t>
            </w:r>
            <w:r>
              <w:fldChar w:fldCharType="end"/>
            </w:r>
            <w:r>
              <w:t xml:space="preserve">, зокрема: </w:t>
            </w:r>
          </w:p>
          <w:p>
            <w:pPr>
              <w:jc w:val="both"/>
            </w:pPr>
            <w:r>
              <w:t>1. Інформація/документ, подана учасником процедури закупівлі у складі тендерної пропозиції, містить помилку (помилки) у частині:</w:t>
            </w:r>
          </w:p>
          <w:p>
            <w:pPr>
              <w:jc w:val="both"/>
            </w:pPr>
            <w:r>
              <w:t>уживання великої літери;</w:t>
            </w:r>
          </w:p>
          <w:p>
            <w:pPr>
              <w:jc w:val="both"/>
            </w:pPr>
            <w:r>
              <w:t>уживання розділових знаків та відмінювання слів у реченні;</w:t>
            </w:r>
          </w:p>
          <w:p>
            <w:pPr>
              <w:jc w:val="both"/>
            </w:pPr>
            <w:r>
              <w:t>використання слова або мовного звороту, запозичених з іншої мови;</w:t>
            </w:r>
          </w:p>
          <w:p>
            <w:pPr>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jc w:val="both"/>
            </w:pPr>
            <w:r>
              <w:t>застосування правил переносу частини слова з рядка в рядок;</w:t>
            </w:r>
          </w:p>
          <w:p>
            <w:pPr>
              <w:jc w:val="both"/>
            </w:pPr>
            <w:r>
              <w:t>написання слів разом та/або окремо, та/або через дефіс;</w:t>
            </w:r>
          </w:p>
          <w:p>
            <w:pPr>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дату.</w:t>
            </w:r>
          </w:p>
          <w:p>
            <w:pPr>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pPr>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before="150" w:after="150"/>
              <w:jc w:val="both"/>
            </w:pPr>
            <w:r>
              <w:t>Приклади формальних помилок:</w:t>
            </w:r>
          </w:p>
          <w:p>
            <w:pPr>
              <w:pStyle w:val="16"/>
              <w:numPr>
                <w:ilvl w:val="0"/>
                <w:numId w:val="1"/>
              </w:numPr>
              <w:spacing w:before="150" w:after="150"/>
              <w:jc w:val="both"/>
            </w:pPr>
            <w:r>
              <w:t xml:space="preserve">«вінницька область» замість «Вінницька область» або «місто львів» замість «місто Львів»; </w:t>
            </w:r>
          </w:p>
          <w:p>
            <w:pPr>
              <w:pStyle w:val="16"/>
              <w:numPr>
                <w:ilvl w:val="0"/>
                <w:numId w:val="1"/>
              </w:numPr>
              <w:spacing w:before="150" w:after="150"/>
              <w:jc w:val="both"/>
            </w:pPr>
            <w:r>
              <w:t>«у складі тендерна пропозиція» замість «у складі тендерної пропозиції»;</w:t>
            </w:r>
          </w:p>
          <w:p>
            <w:pPr>
              <w:pStyle w:val="16"/>
              <w:numPr>
                <w:ilvl w:val="0"/>
                <w:numId w:val="1"/>
              </w:numPr>
              <w:spacing w:before="150" w:after="150"/>
              <w:jc w:val="both"/>
            </w:pPr>
            <w: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16"/>
              <w:numPr>
                <w:ilvl w:val="0"/>
                <w:numId w:val="1"/>
              </w:numPr>
              <w:spacing w:before="150" w:after="150"/>
              <w:jc w:val="both"/>
            </w:pPr>
            <w:r>
              <w:t>«тендернапропозиція» замість «тендерна пропозиція»;</w:t>
            </w:r>
          </w:p>
          <w:p>
            <w:pPr>
              <w:pStyle w:val="16"/>
              <w:numPr>
                <w:ilvl w:val="0"/>
                <w:numId w:val="1"/>
              </w:numPr>
              <w:spacing w:before="150" w:after="150"/>
              <w:jc w:val="both"/>
            </w:pPr>
            <w:r>
              <w:t>«срток поставки» замість «строк поставки»;</w:t>
            </w:r>
          </w:p>
          <w:p>
            <w:pPr>
              <w:pStyle w:val="16"/>
              <w:numPr>
                <w:ilvl w:val="0"/>
                <w:numId w:val="1"/>
              </w:numPr>
              <w:spacing w:before="150" w:after="150"/>
              <w:jc w:val="both"/>
            </w:pPr>
            <w:r>
              <w:t>«Довідка» замість «Лист», «Гарантійний лист» замість «Довідка», «Лист» замість «Гарантійний лист» тощо;</w:t>
            </w:r>
          </w:p>
          <w:p>
            <w:pPr>
              <w:jc w:val="both"/>
            </w:pPr>
            <w:r>
              <w:t>подання документа у форматі  «</w:t>
            </w:r>
            <w:r>
              <w:rPr>
                <w:lang w:val="en-US"/>
              </w:rPr>
              <w:t>PDF</w:t>
            </w:r>
            <w:r>
              <w:t>» замість «JPEG», «JPEG» замість «</w:t>
            </w:r>
            <w:r>
              <w:rPr>
                <w:lang w:val="en-US"/>
              </w:rPr>
              <w:t>PDF</w:t>
            </w:r>
            <w:r>
              <w:t>», «RAR» замість «</w:t>
            </w:r>
            <w:r>
              <w:rPr>
                <w:lang w:val="en-US"/>
              </w:rPr>
              <w:t>PDF</w:t>
            </w:r>
            <w:r>
              <w:t>», «7z» замість «</w:t>
            </w:r>
            <w:r>
              <w:rPr>
                <w:lang w:val="en-US"/>
              </w:rPr>
              <w:t>PDF</w:t>
            </w:r>
            <w:r>
              <w:t>» тощо.</w:t>
            </w:r>
          </w:p>
          <w:p>
            <w:pPr>
              <w:pStyle w:val="36"/>
              <w:jc w:val="both"/>
              <w:rPr>
                <w:rFonts w:ascii="Times New Roman" w:hAnsi="Times New Roman"/>
                <w:sz w:val="24"/>
                <w:szCs w:val="24"/>
                <w:lang w:val="uk-UA"/>
              </w:rPr>
            </w:pPr>
            <w:r>
              <w:t>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07" w:hRule="atLeast"/>
          <w:jc w:val="center"/>
        </w:trPr>
        <w:tc>
          <w:tcPr>
            <w:tcW w:w="571" w:type="dxa"/>
            <w:gridSpan w:val="2"/>
            <w:tcMar>
              <w:left w:w="103" w:type="dxa"/>
            </w:tcMar>
          </w:tcPr>
          <w:p>
            <w:pPr>
              <w:rPr>
                <w:b/>
                <w:bCs/>
              </w:rPr>
            </w:pPr>
            <w:r>
              <w:rPr>
                <w:b/>
                <w:bCs/>
              </w:rPr>
              <w:t>3</w:t>
            </w:r>
          </w:p>
        </w:tc>
        <w:tc>
          <w:tcPr>
            <w:tcW w:w="3461" w:type="dxa"/>
            <w:tcMar>
              <w:left w:w="103" w:type="dxa"/>
            </w:tcMar>
          </w:tcPr>
          <w:p>
            <w:pPr>
              <w:rPr>
                <w:b/>
                <w:bCs/>
              </w:rPr>
            </w:pPr>
            <w:r>
              <w:rPr>
                <w:b/>
                <w:bC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5" w:type="dxa"/>
            <w:tcMar>
              <w:left w:w="103" w:type="dxa"/>
            </w:tcMar>
            <w:vAlign w:val="center"/>
          </w:tcPr>
          <w:p>
            <w:pPr>
              <w:jc w:val="both"/>
            </w:pPr>
            <w:r>
              <w:t>Ціна тендерної пропозиції не може перевищувати очікувану вартість предмета закупівлі.</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77" w:hRule="atLeast"/>
          <w:jc w:val="center"/>
        </w:trPr>
        <w:tc>
          <w:tcPr>
            <w:tcW w:w="571" w:type="dxa"/>
            <w:gridSpan w:val="2"/>
            <w:tcMar>
              <w:left w:w="103" w:type="dxa"/>
            </w:tcMar>
          </w:tcPr>
          <w:p>
            <w:pPr>
              <w:rPr>
                <w:b/>
                <w:bCs/>
              </w:rPr>
            </w:pPr>
            <w:r>
              <w:rPr>
                <w:b/>
                <w:bCs/>
              </w:rPr>
              <w:t>4</w:t>
            </w:r>
          </w:p>
        </w:tc>
        <w:tc>
          <w:tcPr>
            <w:tcW w:w="3461" w:type="dxa"/>
            <w:tcMar>
              <w:left w:w="103" w:type="dxa"/>
            </w:tcMar>
          </w:tcPr>
          <w:p>
            <w:pPr>
              <w:jc w:val="both"/>
              <w:rPr>
                <w:b/>
                <w:bCs/>
              </w:rPr>
            </w:pPr>
            <w:r>
              <w:rPr>
                <w:b/>
                <w:bCs/>
              </w:rPr>
              <w:t>Очікувана вартість предмета закупівлі</w:t>
            </w:r>
          </w:p>
        </w:tc>
        <w:tc>
          <w:tcPr>
            <w:tcW w:w="6655" w:type="dxa"/>
            <w:tcMar>
              <w:left w:w="103" w:type="dxa"/>
            </w:tcMar>
            <w:vAlign w:val="center"/>
          </w:tcPr>
          <w:p>
            <w:pPr>
              <w:pStyle w:val="36"/>
              <w:jc w:val="both"/>
              <w:rPr>
                <w:rFonts w:ascii="Times New Roman" w:hAnsi="Times New Roman"/>
                <w:sz w:val="24"/>
                <w:szCs w:val="24"/>
              </w:rPr>
            </w:pPr>
            <w:r>
              <w:rPr>
                <w:rFonts w:ascii="Times New Roman" w:hAnsi="Times New Roman"/>
                <w:sz w:val="24"/>
                <w:szCs w:val="24"/>
              </w:rPr>
              <w:t xml:space="preserve">Всього: </w:t>
            </w:r>
            <w:r>
              <w:rPr>
                <w:rFonts w:ascii="Times New Roman" w:hAnsi="Times New Roman"/>
                <w:b/>
                <w:bCs/>
                <w:sz w:val="24"/>
                <w:szCs w:val="24"/>
                <w:lang w:val="uk-UA"/>
              </w:rPr>
              <w:t>340 300</w:t>
            </w:r>
            <w:r>
              <w:rPr>
                <w:rFonts w:ascii="Times New Roman" w:hAnsi="Times New Roman"/>
                <w:b/>
                <w:bCs/>
                <w:sz w:val="24"/>
                <w:szCs w:val="24"/>
              </w:rPr>
              <w:t>,</w:t>
            </w:r>
            <w:r>
              <w:rPr>
                <w:rFonts w:ascii="Times New Roman" w:hAnsi="Times New Roman"/>
                <w:b/>
                <w:bCs/>
                <w:sz w:val="24"/>
                <w:szCs w:val="24"/>
                <w:lang w:val="uk-UA"/>
              </w:rPr>
              <w:t>00</w:t>
            </w:r>
            <w:r>
              <w:rPr>
                <w:rFonts w:ascii="Times New Roman" w:hAnsi="Times New Roman"/>
                <w:b/>
                <w:bCs/>
                <w:sz w:val="24"/>
                <w:szCs w:val="24"/>
              </w:rPr>
              <w:t xml:space="preserve"> грн.</w:t>
            </w:r>
            <w:r>
              <w:rPr>
                <w:rFonts w:ascii="Times New Roman" w:hAnsi="Times New Roman"/>
                <w:sz w:val="24"/>
                <w:szCs w:val="24"/>
              </w:rPr>
              <w:t xml:space="preserve"> в тому числі ПДВ- 0 %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07" w:hRule="atLeast"/>
          <w:jc w:val="center"/>
        </w:trPr>
        <w:tc>
          <w:tcPr>
            <w:tcW w:w="571" w:type="dxa"/>
            <w:gridSpan w:val="2"/>
            <w:tcMar>
              <w:left w:w="103" w:type="dxa"/>
            </w:tcMar>
          </w:tcPr>
          <w:p>
            <w:pPr>
              <w:rPr>
                <w:b/>
                <w:bCs/>
              </w:rPr>
            </w:pPr>
            <w:r>
              <w:rPr>
                <w:b/>
                <w:bCs/>
              </w:rPr>
              <w:t>5</w:t>
            </w:r>
          </w:p>
        </w:tc>
        <w:tc>
          <w:tcPr>
            <w:tcW w:w="3461" w:type="dxa"/>
            <w:tcMar>
              <w:left w:w="103" w:type="dxa"/>
            </w:tcMar>
          </w:tcPr>
          <w:p>
            <w:pPr>
              <w:rPr>
                <w:b/>
                <w:bCs/>
              </w:rPr>
            </w:pPr>
            <w:r>
              <w:rPr>
                <w:b/>
                <w:bCs/>
              </w:rPr>
              <w:t>Забезпечення тендерної пропозиції</w:t>
            </w:r>
          </w:p>
        </w:tc>
        <w:tc>
          <w:tcPr>
            <w:tcW w:w="6655" w:type="dxa"/>
            <w:tcMar>
              <w:left w:w="103" w:type="dxa"/>
            </w:tcMar>
            <w:vAlign w:val="center"/>
          </w:tcPr>
          <w:p>
            <w:r>
              <w:t>Не вимагається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874" w:hRule="atLeast"/>
          <w:jc w:val="center"/>
        </w:trPr>
        <w:tc>
          <w:tcPr>
            <w:tcW w:w="571" w:type="dxa"/>
            <w:gridSpan w:val="2"/>
            <w:tcMar>
              <w:left w:w="103" w:type="dxa"/>
            </w:tcMar>
          </w:tcPr>
          <w:p>
            <w:pPr>
              <w:rPr>
                <w:b/>
                <w:bCs/>
              </w:rPr>
            </w:pPr>
            <w:r>
              <w:rPr>
                <w:b/>
                <w:bCs/>
              </w:rPr>
              <w:t>6</w:t>
            </w:r>
          </w:p>
        </w:tc>
        <w:tc>
          <w:tcPr>
            <w:tcW w:w="3461" w:type="dxa"/>
            <w:tcMar>
              <w:left w:w="103" w:type="dxa"/>
            </w:tcMar>
          </w:tcPr>
          <w:p>
            <w:pPr>
              <w:rPr>
                <w:b/>
                <w:bCs/>
              </w:rPr>
            </w:pPr>
            <w:r>
              <w:rPr>
                <w:b/>
                <w:bCs/>
              </w:rPr>
              <w:t>Умови повернення чи неповернення забезпечення тендерної пропозиції</w:t>
            </w:r>
          </w:p>
        </w:tc>
        <w:tc>
          <w:tcPr>
            <w:tcW w:w="6655" w:type="dxa"/>
            <w:tcMar>
              <w:left w:w="103" w:type="dxa"/>
            </w:tcMar>
            <w:vAlign w:val="center"/>
          </w:tcPr>
          <w:p>
            <w:pPr>
              <w:ind w:firstLine="224"/>
              <w:jc w:val="both"/>
            </w:pPr>
            <w:bookmarkStart w:id="4" w:name="h.2et92p0"/>
            <w:bookmarkEnd w:id="4"/>
            <w:r>
              <w:t>У зв’язку з тим, що забезпечення тендерної пропозиції не вимагається, умови повернення чи неповернення забезпечення тендерної пропозиції замовником не визначено.</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tcMar>
              <w:left w:w="103" w:type="dxa"/>
            </w:tcMar>
          </w:tcPr>
          <w:p>
            <w:pPr>
              <w:rPr>
                <w:b/>
                <w:bCs/>
              </w:rPr>
            </w:pPr>
            <w:r>
              <w:rPr>
                <w:b/>
                <w:bCs/>
              </w:rPr>
              <w:t>7</w:t>
            </w:r>
          </w:p>
        </w:tc>
        <w:tc>
          <w:tcPr>
            <w:tcW w:w="3461" w:type="dxa"/>
            <w:tcMar>
              <w:left w:w="103" w:type="dxa"/>
            </w:tcMar>
          </w:tcPr>
          <w:p>
            <w:pPr>
              <w:rPr>
                <w:b/>
                <w:bCs/>
              </w:rPr>
            </w:pPr>
            <w:r>
              <w:rPr>
                <w:b/>
                <w:bCs/>
              </w:rPr>
              <w:t>Строк дії тендерної пропозиції, протягом якого тендерні пропозиції вважаються дійсними</w:t>
            </w:r>
          </w:p>
        </w:tc>
        <w:tc>
          <w:tcPr>
            <w:tcW w:w="6655" w:type="dxa"/>
            <w:tcMar>
              <w:left w:w="103" w:type="dxa"/>
            </w:tcMar>
          </w:tcPr>
          <w:p>
            <w:pPr>
              <w:jc w:val="both"/>
            </w:pPr>
            <w:r>
              <w:t xml:space="preserve">   Тендерні пропозиції вважаються дійсними протягом 90 днів з дати кінцевого строку подання тендерних пропозицій. Тендерні пропозиції залишаються дійсними протягом зазначеного вище строку, який у разі необхідності може бути продовжений.</w:t>
            </w:r>
          </w:p>
          <w:p>
            <w:pPr>
              <w:jc w:val="both"/>
            </w:pPr>
            <w: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jc w:val="both"/>
            </w:pPr>
            <w:r>
              <w:t>- відхилити таку вимогу, не втрачаючи при цьому наданого ним забезпечення тендерної пропозиції;</w:t>
            </w:r>
          </w:p>
          <w:p>
            <w:pPr>
              <w:jc w:val="both"/>
            </w:pPr>
            <w:r>
              <w:t xml:space="preserve">- погодитися з вимогою та продовжити строк дії поданої ним тендерної пропозиції та наданого забезпечення тендерної пропозиції. </w:t>
            </w:r>
          </w:p>
          <w:p>
            <w:pPr>
              <w:ind w:firstLine="231"/>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shd w:val="clear" w:color="auto" w:fill="auto"/>
            <w:tcMar>
              <w:left w:w="103" w:type="dxa"/>
            </w:tcMar>
          </w:tcPr>
          <w:p>
            <w:pPr>
              <w:rPr>
                <w:b/>
                <w:bCs/>
              </w:rPr>
            </w:pPr>
            <w:r>
              <w:rPr>
                <w:b/>
                <w:bCs/>
              </w:rPr>
              <w:t>8</w:t>
            </w:r>
          </w:p>
        </w:tc>
        <w:tc>
          <w:tcPr>
            <w:tcW w:w="3461" w:type="dxa"/>
            <w:tcMar>
              <w:left w:w="103" w:type="dxa"/>
            </w:tcMar>
          </w:tcPr>
          <w:p>
            <w:pPr>
              <w:rPr>
                <w:b/>
                <w:bCs/>
              </w:rPr>
            </w:pPr>
            <w:r>
              <w:rPr>
                <w:b/>
                <w:bCs/>
              </w:rPr>
              <w:t>Кваліфікаційний критерій/кваліфікацій-ні критерії, встановлені до учасників відповідно до статті 16 Закону з урахуванням норм Особливостей та спосіб підтвердження відповідності учасника встановленим кваліфікаційним критеріям /кваліфікаційному критерію</w:t>
            </w:r>
          </w:p>
          <w:p>
            <w:pPr>
              <w:rPr>
                <w:b/>
                <w:bCs/>
              </w:rPr>
            </w:pPr>
          </w:p>
        </w:tc>
        <w:tc>
          <w:tcPr>
            <w:tcW w:w="6655" w:type="dxa"/>
            <w:tcMar>
              <w:left w:w="103" w:type="dxa"/>
            </w:tcMar>
          </w:tcPr>
          <w:p>
            <w:pPr>
              <w:pStyle w:val="32"/>
              <w:widowControl w:val="0"/>
              <w:spacing w:line="240" w:lineRule="auto"/>
              <w:ind w:right="70" w:firstLine="23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вимагає від учасників процедури закупівлі на підтвердження наявності досвіду виконання аналогічного договору (аналогічних договорів) </w:t>
            </w:r>
            <w:r>
              <w:rPr>
                <w:rFonts w:ascii="Times New Roman" w:hAnsi="Times New Roman" w:cs="Times New Roman"/>
                <w:sz w:val="24"/>
                <w:szCs w:val="24"/>
                <w:u w:val="single"/>
                <w:lang w:val="uk-UA"/>
              </w:rPr>
              <w:t xml:space="preserve">надати документально підтверджену інформацію </w:t>
            </w:r>
            <w:r>
              <w:rPr>
                <w:rFonts w:ascii="Times New Roman" w:hAnsi="Times New Roman" w:cs="Times New Roman"/>
                <w:sz w:val="24"/>
                <w:szCs w:val="24"/>
                <w:u w:val="single"/>
              </w:rPr>
              <w:t>про</w:t>
            </w:r>
            <w:r>
              <w:rPr>
                <w:rFonts w:ascii="Times New Roman" w:hAnsi="Times New Roman" w:cs="Times New Roman"/>
                <w:sz w:val="24"/>
                <w:szCs w:val="24"/>
                <w:u w:val="single"/>
                <w:lang w:val="uk-UA"/>
              </w:rPr>
              <w:t xml:space="preserve"> своєчасне повне виконання такого договору/договорів</w:t>
            </w:r>
            <w:r>
              <w:rPr>
                <w:rFonts w:ascii="Times New Roman" w:hAnsi="Times New Roman" w:cs="Times New Roman"/>
                <w:sz w:val="24"/>
                <w:szCs w:val="24"/>
                <w:lang w:val="uk-UA"/>
              </w:rPr>
              <w:t xml:space="preserve">, а саме: </w:t>
            </w:r>
          </w:p>
          <w:p>
            <w:pPr>
              <w:pStyle w:val="31"/>
              <w:widowControl w:val="0"/>
              <w:tabs>
                <w:tab w:val="left" w:pos="223"/>
              </w:tabs>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договір/договори разом із додатком(ами), додатковими угодами/угодою до нього (додаткова угода/додаткові угоди за наявності); </w:t>
            </w:r>
          </w:p>
          <w:p>
            <w:pPr>
              <w:pStyle w:val="31"/>
              <w:widowControl w:val="0"/>
              <w:tabs>
                <w:tab w:val="left" w:pos="196"/>
              </w:tabs>
              <w:spacing w:line="240" w:lineRule="auto"/>
              <w:ind w:right="70"/>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Pr>
                <w:rFonts w:ascii="Times New Roman" w:hAnsi="Times New Roman" w:cs="Times New Roman"/>
                <w:color w:val="auto"/>
                <w:sz w:val="24"/>
                <w:szCs w:val="24"/>
                <w:lang w:val="uk-UA"/>
              </w:rPr>
              <w:t xml:space="preserve">акт(и) приймання-передачі товару та/або видаткову(і) накладну(і), та/або товарно-транспортну(і) накладну(і) за якими поставлено товар. Документ(и) повинні містити наступні реквізити: назву та дату складання документа, а також </w:t>
            </w:r>
            <w:r>
              <w:rPr>
                <w:rFonts w:ascii="Times New Roman" w:hAnsi="Times New Roman" w:cs="Times New Roman"/>
                <w:color w:val="auto"/>
                <w:sz w:val="24"/>
                <w:szCs w:val="24"/>
                <w:shd w:val="clear" w:color="auto" w:fill="FFFFFF"/>
                <w:lang w:val="uk-UA"/>
              </w:rPr>
              <w:t xml:space="preserve"> особистий підпис або електронний підпис, та/або інші дані, що дають змогу ідентифікувати особу, яка брала участь у здійсненні господарської операції від кожної сторони за договором/договорами</w:t>
            </w:r>
            <w:r>
              <w:rPr>
                <w:rFonts w:ascii="Times New Roman" w:hAnsi="Times New Roman" w:cs="Times New Roman"/>
                <w:color w:val="auto"/>
                <w:sz w:val="24"/>
                <w:szCs w:val="24"/>
                <w:lang w:val="uk-UA"/>
              </w:rPr>
              <w:t>.</w:t>
            </w:r>
          </w:p>
          <w:p>
            <w:pPr>
              <w:jc w:val="both"/>
              <w:rPr>
                <w:u w:val="single"/>
              </w:rPr>
            </w:pPr>
            <w:r>
              <w:rPr>
                <w:u w:val="single"/>
              </w:rPr>
              <w:t xml:space="preserve">Примітка. </w:t>
            </w:r>
          </w:p>
          <w:p>
            <w:pPr>
              <w:pStyle w:val="36"/>
              <w:jc w:val="both"/>
              <w:rPr>
                <w:rFonts w:ascii="Times New Roman" w:hAnsi="Times New Roman"/>
                <w:sz w:val="24"/>
                <w:szCs w:val="24"/>
                <w:lang w:val="uk-UA"/>
              </w:rPr>
            </w:pPr>
            <w:r>
              <w:rPr>
                <w:rFonts w:ascii="Times New Roman" w:hAnsi="Times New Roman"/>
                <w:sz w:val="24"/>
                <w:szCs w:val="24"/>
              </w:rPr>
              <w:t xml:space="preserve">*Під аналогічним договором мається на увазі договір, за яким учасник передав у власність контрагента товар, </w:t>
            </w:r>
            <w:r>
              <w:rPr>
                <w:rFonts w:ascii="Times New Roman" w:hAnsi="Times New Roman"/>
                <w:sz w:val="24"/>
                <w:szCs w:val="24"/>
                <w:u w:val="single"/>
              </w:rPr>
              <w:t xml:space="preserve">шини для вантажних автомобілів </w:t>
            </w:r>
            <w:r>
              <w:rPr>
                <w:rFonts w:ascii="Times New Roman" w:hAnsi="Times New Roman"/>
                <w:sz w:val="24"/>
                <w:szCs w:val="24"/>
                <w:u w:val="single"/>
                <w:lang w:val="uk-UA"/>
              </w:rPr>
              <w:t>та/або автомобільні шини (для вантажних автомобілів),</w:t>
            </w:r>
            <w:r>
              <w:rPr>
                <w:rFonts w:ascii="Times New Roman" w:hAnsi="Times New Roman"/>
                <w:sz w:val="24"/>
                <w:szCs w:val="24"/>
                <w:lang w:val="uk-UA"/>
              </w:rPr>
              <w:t xml:space="preserve"> і своєчасно повністю виконав свої зобов’язання за укладеним договором.</w:t>
            </w:r>
          </w:p>
          <w:p>
            <w:pPr>
              <w:pStyle w:val="36"/>
              <w:jc w:val="both"/>
              <w:rPr>
                <w:rFonts w:ascii="Times New Roman" w:hAnsi="Times New Roman"/>
                <w:sz w:val="24"/>
                <w:szCs w:val="24"/>
              </w:rPr>
            </w:pPr>
            <w:r>
              <w:rPr>
                <w:rFonts w:ascii="Times New Roman" w:hAnsi="Times New Roman"/>
                <w:sz w:val="24"/>
                <w:szCs w:val="24"/>
                <w:lang w:val="uk-UA"/>
              </w:rPr>
              <w:t xml:space="preserve">   Кваліфікаційні критерії та інформація про спосіб їх підтвердження учасником викладені також у Додатку 1 до тендерної документації</w:t>
            </w:r>
            <w:r>
              <w:rPr>
                <w:rFonts w:ascii="Times New Roman" w:hAnsi="Times New Roman"/>
                <w:sz w:val="24"/>
                <w:szCs w:val="24"/>
              </w:rPr>
              <w:t>.</w:t>
            </w:r>
          </w:p>
          <w:p>
            <w:pPr>
              <w:ind w:right="28"/>
              <w:jc w:val="both"/>
            </w:pPr>
            <w:r>
              <w:t xml:space="preserve">   Для об’єднання учасників, як учасника процедури закупівлі, замовником визначені умови щодо надання інформації та способу підтвердження відповідності таких учасників об’єднання установленим кваліфікаційним критеріям/кваліфікаційному критерію у Додатку  1 до тендерної документації.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tcMar>
              <w:left w:w="103" w:type="dxa"/>
            </w:tcMar>
          </w:tcPr>
          <w:p>
            <w:pPr>
              <w:rPr>
                <w:b/>
                <w:bCs/>
              </w:rPr>
            </w:pPr>
            <w:r>
              <w:rPr>
                <w:b/>
                <w:bCs/>
              </w:rPr>
              <w:t>9</w:t>
            </w:r>
          </w:p>
        </w:tc>
        <w:tc>
          <w:tcPr>
            <w:tcW w:w="3461" w:type="dxa"/>
            <w:tcMar>
              <w:left w:w="103" w:type="dxa"/>
            </w:tcMar>
          </w:tcPr>
          <w:p>
            <w:pPr>
              <w:rPr>
                <w:b/>
                <w:bCs/>
              </w:rPr>
            </w:pPr>
            <w:r>
              <w:rPr>
                <w:b/>
                <w:bCs/>
              </w:rPr>
              <w:t xml:space="preserve">Підстави для відмови учаснику в участі у відкритих торгах, встановлені пунктом 47 Особливостей та інформація про спосіб підтвердження </w:t>
            </w:r>
          </w:p>
          <w:p>
            <w:pPr>
              <w:rPr>
                <w:b/>
                <w:bCs/>
                <w:color w:val="000000"/>
              </w:rPr>
            </w:pPr>
            <w:r>
              <w:rPr>
                <w:b/>
                <w:bCs/>
              </w:rPr>
              <w:t>їх відсутності</w:t>
            </w:r>
          </w:p>
        </w:tc>
        <w:tc>
          <w:tcPr>
            <w:tcW w:w="6655" w:type="dxa"/>
            <w:tcMar>
              <w:left w:w="103" w:type="dxa"/>
            </w:tcMar>
          </w:tcPr>
          <w:p>
            <w:pPr>
              <w:pStyle w:val="39"/>
              <w:widowControl w:val="0"/>
              <w:ind w:firstLine="223"/>
              <w:jc w:val="both"/>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39"/>
              <w:widowControl w:val="0"/>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39"/>
              <w:widowControl w:val="0"/>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39"/>
              <w:widowControl w:val="0"/>
              <w:jc w:val="both"/>
              <w:rPr>
                <w:rFonts w:ascii="Times New Roman" w:hAnsi="Times New Roman"/>
                <w:sz w:val="24"/>
                <w:szCs w:val="24"/>
              </w:rPr>
            </w:pPr>
            <w:r>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39"/>
              <w:widowControl w:val="0"/>
              <w:jc w:val="both"/>
              <w:rPr>
                <w:rFonts w:ascii="Times New Roman" w:hAnsi="Times New Roman"/>
                <w:sz w:val="24"/>
                <w:szCs w:val="24"/>
              </w:rPr>
            </w:pPr>
            <w:r>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39"/>
              <w:widowControl w:val="0"/>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39"/>
              <w:widowControl w:val="0"/>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39"/>
              <w:widowControl w:val="0"/>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39"/>
              <w:widowControl w:val="0"/>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39"/>
              <w:widowControl w:val="0"/>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39"/>
              <w:widowControl w:val="0"/>
              <w:jc w:val="both"/>
              <w:rPr>
                <w:rFonts w:ascii="Times New Roman" w:hAnsi="Times New Roman"/>
                <w:sz w:val="24"/>
                <w:szCs w:val="24"/>
              </w:rPr>
            </w:pPr>
            <w:r>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szCs w:val="24"/>
              </w:rPr>
              <w:br w:type="textWrapping"/>
            </w:r>
            <w:r>
              <w:rPr>
                <w:rFonts w:ascii="Times New Roman" w:hAnsi="Times New Roman"/>
                <w:sz w:val="24"/>
                <w:szCs w:val="24"/>
              </w:rPr>
              <w:t>20 млн. гривень (у тому числі за лотом);</w:t>
            </w:r>
          </w:p>
          <w:p>
            <w:pPr>
              <w:pStyle w:val="39"/>
              <w:widowControl w:val="0"/>
              <w:jc w:val="both"/>
              <w:rPr>
                <w:rFonts w:ascii="Times New Roman" w:hAnsi="Times New Roman"/>
                <w:sz w:val="24"/>
                <w:szCs w:val="24"/>
              </w:rPr>
            </w:pPr>
            <w:r>
              <w:rPr>
                <w:rFonts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4"/>
                <w:szCs w:val="24"/>
                <w:u w:val="single"/>
              </w:rPr>
              <w:t>нею</w:t>
            </w:r>
            <w:r>
              <w:rPr>
                <w:rFonts w:ascii="Times New Roman" w:hAnsi="Times New Roman"/>
                <w:sz w:val="24"/>
                <w:szCs w:val="24"/>
              </w:rPr>
              <w:t xml:space="preserve"> публічних закупівель товарів, робіт і послуг згідно із Законом України “Про санкції”;</w:t>
            </w:r>
          </w:p>
          <w:p>
            <w:pPr>
              <w:pStyle w:val="39"/>
              <w:widowControl w:val="0"/>
              <w:jc w:val="both"/>
              <w:rPr>
                <w:rFonts w:ascii="Times New Roman" w:hAnsi="Times New Roman"/>
                <w:sz w:val="24"/>
                <w:szCs w:val="24"/>
              </w:rPr>
            </w:pPr>
            <w:r>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50" w:after="150"/>
              <w:jc w:val="both"/>
            </w:pPr>
            <w: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pPr>
              <w:spacing w:before="150" w:after="150"/>
              <w:jc w:val="both"/>
            </w:pPr>
            <w:r>
              <w:t xml:space="preserve">    Замовник не вимагає від учасника відкритих торгів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 відповідно до абзацу шістнадцятого цього пункту.</w:t>
            </w:r>
          </w:p>
          <w:p>
            <w:pPr>
              <w:spacing w:before="150" w:after="150"/>
              <w:jc w:val="both"/>
            </w:pPr>
            <w:r>
              <w:t xml:space="preserve">   Учасник процедури закупівлі підтверджує відсутність підстав, зазначених у пункті 47 Особливостей (крім 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tabs>
                <w:tab w:val="left" w:pos="181"/>
              </w:tabs>
              <w:jc w:val="both"/>
            </w:pPr>
            <w:r>
              <w:t>   Спосіб підтвердження відсутності підстав для відхилення тендерної пропозиції учасника, визначених в пункті 47 Особливостей, наведено у Додатку  1 до тендерної документації.</w:t>
            </w:r>
          </w:p>
          <w:p>
            <w:pPr>
              <w:pStyle w:val="39"/>
              <w:widowControl w:val="0"/>
              <w:ind w:firstLine="223"/>
              <w:jc w:val="both"/>
              <w:rPr>
                <w:rFonts w:ascii="Times New Roman" w:hAnsi="Times New Roman"/>
                <w:sz w:val="24"/>
                <w:szCs w:val="24"/>
              </w:rPr>
            </w:pPr>
            <w:r>
              <w:rPr>
                <w:rFonts w:ascii="Times New Roman" w:hAnsi="Times New Roman"/>
                <w:sz w:val="24"/>
                <w:szCs w:val="24"/>
              </w:rPr>
              <w:t xml:space="preserve">Для об’єднання учасників, як учасника процедури закупівлі, замовником визначені умови щодо надання інформації та способу підтвердження відсутності підстав, визначених в пункті 47 Особливостей у Додатку  1 до тендерної документації.   </w:t>
            </w:r>
          </w:p>
          <w:p>
            <w:pPr>
              <w:tabs>
                <w:tab w:val="left" w:pos="9072"/>
              </w:tabs>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tcMar>
              <w:left w:w="103" w:type="dxa"/>
            </w:tcMar>
          </w:tcPr>
          <w:p>
            <w:pPr>
              <w:rPr>
                <w:b/>
                <w:bCs/>
              </w:rPr>
            </w:pPr>
            <w:r>
              <w:rPr>
                <w:b/>
                <w:bCs/>
              </w:rPr>
              <w:t>10</w:t>
            </w:r>
          </w:p>
        </w:tc>
        <w:tc>
          <w:tcPr>
            <w:tcW w:w="3461" w:type="dxa"/>
            <w:tcMar>
              <w:left w:w="103" w:type="dxa"/>
            </w:tcMar>
          </w:tcPr>
          <w:p>
            <w:pPr>
              <w:rPr>
                <w:b/>
                <w:bCs/>
              </w:rPr>
            </w:pPr>
            <w:r>
              <w:rPr>
                <w:b/>
                <w:bCs/>
                <w:color w:val="000000"/>
              </w:rPr>
              <w:t>Інформація про технічні, якісні та інші характеристики предмета закупівлі</w:t>
            </w:r>
          </w:p>
        </w:tc>
        <w:tc>
          <w:tcPr>
            <w:tcW w:w="6655" w:type="dxa"/>
            <w:tcMar>
              <w:left w:w="103" w:type="dxa"/>
            </w:tcMar>
            <w:vAlign w:val="center"/>
          </w:tcPr>
          <w:p>
            <w:pPr>
              <w:tabs>
                <w:tab w:val="left" w:pos="9072"/>
              </w:tabs>
              <w:jc w:val="both"/>
            </w:pPr>
            <w:r>
              <w:t xml:space="preserve">    Інформація про необхідні технічні, якісні, кількісні та інші характеристики предмета закупівлі, викладена у Додатку  2 до тендерної документації (Технічна специфікація).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tcMar>
              <w:left w:w="103" w:type="dxa"/>
            </w:tcMar>
          </w:tcPr>
          <w:p>
            <w:pPr>
              <w:rPr>
                <w:b/>
                <w:bCs/>
              </w:rPr>
            </w:pPr>
            <w:r>
              <w:rPr>
                <w:b/>
                <w:bCs/>
              </w:rPr>
              <w:t>11</w:t>
            </w:r>
          </w:p>
        </w:tc>
        <w:tc>
          <w:tcPr>
            <w:tcW w:w="3461" w:type="dxa"/>
            <w:tcMar>
              <w:left w:w="103" w:type="dxa"/>
            </w:tcMar>
          </w:tcPr>
          <w:p>
            <w:pPr>
              <w:rPr>
                <w:b/>
                <w:bCs/>
              </w:rPr>
            </w:pPr>
            <w:r>
              <w:rPr>
                <w:b/>
                <w:bCs/>
              </w:rPr>
              <w:t>Інформація про субпідрядника/співвиконавця/субпідрядни-ків/субпідрядника</w:t>
            </w:r>
          </w:p>
        </w:tc>
        <w:tc>
          <w:tcPr>
            <w:tcW w:w="6655" w:type="dxa"/>
            <w:tcMar>
              <w:left w:w="103" w:type="dxa"/>
            </w:tcMar>
            <w:vAlign w:val="center"/>
          </w:tcPr>
          <w:p>
            <w:r>
              <w:t xml:space="preserve">    Інформація про субпідрядника не визначається, оскільки предметом даної закупівлі є товар.</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448" w:hRule="atLeast"/>
          <w:jc w:val="center"/>
        </w:trPr>
        <w:tc>
          <w:tcPr>
            <w:tcW w:w="571" w:type="dxa"/>
            <w:gridSpan w:val="2"/>
            <w:tcMar>
              <w:left w:w="103" w:type="dxa"/>
            </w:tcMar>
          </w:tcPr>
          <w:p>
            <w:pPr>
              <w:rPr>
                <w:b/>
                <w:bCs/>
              </w:rPr>
            </w:pPr>
            <w:r>
              <w:rPr>
                <w:b/>
                <w:bCs/>
              </w:rPr>
              <w:t>12</w:t>
            </w:r>
          </w:p>
        </w:tc>
        <w:tc>
          <w:tcPr>
            <w:tcW w:w="3461" w:type="dxa"/>
            <w:tcMar>
              <w:left w:w="103" w:type="dxa"/>
            </w:tcMar>
          </w:tcPr>
          <w:p>
            <w:pPr>
              <w:rPr>
                <w:b/>
                <w:bCs/>
              </w:rPr>
            </w:pPr>
            <w:r>
              <w:rPr>
                <w:b/>
                <w:bCs/>
              </w:rPr>
              <w:t>Внесення змін або відкликання тендерної пропозиції учасником</w:t>
            </w:r>
          </w:p>
        </w:tc>
        <w:tc>
          <w:tcPr>
            <w:tcW w:w="6655" w:type="dxa"/>
            <w:tcMar>
              <w:left w:w="103" w:type="dxa"/>
            </w:tcMar>
          </w:tcPr>
          <w:p>
            <w:pPr>
              <w:tabs>
                <w:tab w:val="left" w:pos="196"/>
              </w:tabs>
              <w:jc w:val="both"/>
            </w:pPr>
            <w: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tabs>
                <w:tab w:val="left" w:pos="196"/>
              </w:tabs>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42" w:hRule="atLeast"/>
          <w:jc w:val="center"/>
        </w:trPr>
        <w:tc>
          <w:tcPr>
            <w:tcW w:w="10687" w:type="dxa"/>
            <w:gridSpan w:val="4"/>
            <w:tcMar>
              <w:left w:w="103" w:type="dxa"/>
            </w:tcMar>
            <w:vAlign w:val="center"/>
          </w:tcPr>
          <w:p>
            <w:pPr>
              <w:jc w:val="center"/>
              <w:rPr>
                <w:b/>
                <w:bCs/>
              </w:rPr>
            </w:pPr>
            <w:r>
              <w:rPr>
                <w:b/>
                <w:bCs/>
              </w:rPr>
              <w:t>Розділ 4. Подання та розкриття тендерних пропозицій</w:t>
            </w:r>
          </w:p>
          <w:p>
            <w:pPr>
              <w:jc w:val="center"/>
              <w:rPr>
                <w:b/>
                <w:bC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gridSpan w:val="2"/>
            <w:tcMar>
              <w:left w:w="103" w:type="dxa"/>
            </w:tcMar>
          </w:tcPr>
          <w:p>
            <w:r>
              <w:rPr>
                <w:b/>
                <w:bCs/>
              </w:rPr>
              <w:t>1</w:t>
            </w:r>
          </w:p>
        </w:tc>
        <w:tc>
          <w:tcPr>
            <w:tcW w:w="3461" w:type="dxa"/>
            <w:tcMar>
              <w:left w:w="103" w:type="dxa"/>
            </w:tcMar>
          </w:tcPr>
          <w:p>
            <w:r>
              <w:rPr>
                <w:b/>
                <w:bCs/>
              </w:rPr>
              <w:t>Строк для подання тендерних пропозицій, кінцевий строк для подання тендерних пропозицій;  розкриття тендерних пропозицій</w:t>
            </w:r>
          </w:p>
        </w:tc>
        <w:tc>
          <w:tcPr>
            <w:tcW w:w="6655" w:type="dxa"/>
            <w:tcMar>
              <w:left w:w="103" w:type="dxa"/>
            </w:tcMar>
          </w:tcPr>
          <w:p>
            <w:pPr>
              <w:ind w:firstLine="223"/>
              <w:jc w:val="both"/>
            </w:pPr>
            <w:r>
              <w:t>Під час проведення відкритих торгів тендерні пропозиції мають право подавати всі заінтересовані особи.</w:t>
            </w:r>
          </w:p>
          <w:p>
            <w:pPr>
              <w:ind w:firstLine="223"/>
              <w:jc w:val="both"/>
            </w:pPr>
            <w: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tabs>
                <w:tab w:val="left" w:pos="196"/>
              </w:tabs>
              <w:spacing w:before="150" w:after="150"/>
              <w:jc w:val="both"/>
              <w:rPr>
                <w:b/>
                <w:bCs/>
              </w:rPr>
            </w:pPr>
            <w:r>
              <w:t xml:space="preserve">   Кінцевий строк для подання тендерних пропозицій: </w:t>
            </w:r>
            <w:r>
              <w:rPr>
                <w:rFonts w:hint="default"/>
                <w:b/>
                <w:bCs/>
                <w:color w:val="auto"/>
                <w:lang w:val="uk-UA"/>
              </w:rPr>
              <w:t>17</w:t>
            </w:r>
            <w:bookmarkStart w:id="6" w:name="_GoBack"/>
            <w:bookmarkEnd w:id="6"/>
            <w:r>
              <w:rPr>
                <w:b/>
                <w:bCs/>
                <w:color w:val="auto"/>
                <w:lang w:val="ru-RU"/>
              </w:rPr>
              <w:t>.</w:t>
            </w:r>
            <w:r>
              <w:rPr>
                <w:b/>
                <w:bCs/>
                <w:color w:val="auto"/>
              </w:rPr>
              <w:t>0</w:t>
            </w:r>
            <w:r>
              <w:rPr>
                <w:rFonts w:hint="default"/>
                <w:b/>
                <w:bCs/>
                <w:color w:val="auto"/>
                <w:lang w:val="uk-UA"/>
              </w:rPr>
              <w:t>4</w:t>
            </w:r>
            <w:r>
              <w:rPr>
                <w:b/>
                <w:bCs/>
                <w:color w:val="auto"/>
              </w:rPr>
              <w:t>.2024 01:00 год.</w:t>
            </w:r>
          </w:p>
          <w:p>
            <w:pPr>
              <w:pStyle w:val="36"/>
              <w:ind w:firstLine="168"/>
              <w:jc w:val="both"/>
              <w:rPr>
                <w:rFonts w:ascii="Times New Roman" w:hAnsi="Times New Roman"/>
                <w:i/>
                <w:iCs/>
                <w:sz w:val="24"/>
                <w:szCs w:val="24"/>
                <w:lang w:val="uk-UA"/>
              </w:rPr>
            </w:pPr>
            <w:r>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pPr>
              <w:pStyle w:val="36"/>
              <w:ind w:firstLine="168"/>
              <w:jc w:val="both"/>
              <w:rPr>
                <w:rFonts w:ascii="Times New Roman" w:hAnsi="Times New Roman"/>
                <w:sz w:val="24"/>
                <w:szCs w:val="24"/>
                <w:lang w:val="uk-UA"/>
              </w:rPr>
            </w:pPr>
            <w:r>
              <w:rPr>
                <w:rFonts w:ascii="Times New Roman" w:hAnsi="Times New Roman"/>
                <w:sz w:val="24"/>
                <w:szCs w:val="24"/>
                <w:u w:val="single"/>
                <w:lang w:val="uk-UA"/>
              </w:rPr>
              <w:t>Відкриті торги проводяться із застосуванням електронного аукціону</w:t>
            </w:r>
            <w:r>
              <w:rPr>
                <w:rFonts w:ascii="Times New Roman" w:hAnsi="Times New Roman"/>
                <w:sz w:val="24"/>
                <w:szCs w:val="24"/>
                <w:lang w:val="uk-UA"/>
              </w:rPr>
              <w:t>.</w:t>
            </w:r>
          </w:p>
          <w:p>
            <w:pPr>
              <w:spacing w:before="150" w:after="15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jc w:val="both"/>
            </w:pPr>
            <w: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jc w:val="both"/>
            </w:pPr>
            <w:r>
              <w:t xml:space="preserve">    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36"/>
              <w:ind w:firstLine="168"/>
              <w:jc w:val="both"/>
              <w:rPr>
                <w:rFonts w:ascii="Times New Roman" w:hAnsi="Times New Roman"/>
                <w:sz w:val="24"/>
                <w:szCs w:val="24"/>
                <w:lang w:val="uk-UA"/>
              </w:rPr>
            </w:pPr>
            <w:r>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в пункті 47 Особливостей. </w:t>
            </w:r>
          </w:p>
          <w:p>
            <w:pPr>
              <w:pStyle w:val="36"/>
              <w:ind w:firstLine="168"/>
              <w:jc w:val="both"/>
              <w:rPr>
                <w:rFonts w:ascii="Times New Roman" w:hAnsi="Times New Roman"/>
                <w:sz w:val="24"/>
                <w:szCs w:val="24"/>
                <w:lang w:val="uk-UA"/>
              </w:rPr>
            </w:pPr>
            <w:r>
              <w:rPr>
                <w:rFonts w:ascii="Times New Roman" w:hAnsi="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pPr>
              <w:ind w:firstLine="205"/>
              <w:jc w:val="both"/>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20" w:hRule="atLeast"/>
          <w:jc w:val="center"/>
        </w:trPr>
        <w:tc>
          <w:tcPr>
            <w:tcW w:w="10692" w:type="dxa"/>
            <w:gridSpan w:val="4"/>
            <w:vAlign w:val="center"/>
          </w:tcPr>
          <w:p>
            <w:pPr>
              <w:widowControl w:val="0"/>
              <w:rPr>
                <w:b/>
                <w:color w:val="000000"/>
              </w:rPr>
            </w:pPr>
          </w:p>
          <w:p>
            <w:pPr>
              <w:widowControl w:val="0"/>
              <w:jc w:val="center"/>
              <w:rPr>
                <w:color w:val="000000"/>
              </w:rPr>
            </w:pPr>
            <w:r>
              <w:rPr>
                <w:b/>
                <w:color w:val="000000"/>
              </w:rPr>
              <w:t>Розділ 5. Оцінка тендерної пропозиції</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20" w:hRule="atLeast"/>
          <w:jc w:val="center"/>
        </w:trPr>
        <w:tc>
          <w:tcPr>
            <w:tcW w:w="550" w:type="dxa"/>
          </w:tcPr>
          <w:p>
            <w:pPr>
              <w:widowControl w:val="0"/>
              <w:rPr>
                <w:b/>
                <w:color w:val="000000"/>
              </w:rPr>
            </w:pPr>
            <w:r>
              <w:rPr>
                <w:b/>
                <w:color w:val="000000"/>
              </w:rPr>
              <w:t>1</w:t>
            </w:r>
          </w:p>
        </w:tc>
        <w:tc>
          <w:tcPr>
            <w:tcW w:w="3487" w:type="dxa"/>
            <w:gridSpan w:val="2"/>
          </w:tcPr>
          <w:p>
            <w:pPr>
              <w:widowControl w:val="0"/>
              <w:rPr>
                <w:color w:val="000000"/>
              </w:rPr>
            </w:pPr>
            <w:r>
              <w:rPr>
                <w:b/>
                <w:color w:val="000000"/>
              </w:rPr>
              <w:t>Перелік критеріїв та методика оцінки тендерної пропозиції із зазначенням питомої ваги критерію</w:t>
            </w:r>
          </w:p>
        </w:tc>
        <w:tc>
          <w:tcPr>
            <w:tcW w:w="6655" w:type="dxa"/>
          </w:tcPr>
          <w:p>
            <w:pPr>
              <w:jc w:val="both"/>
            </w:pPr>
            <w:r>
              <w:t>Єдиний критерій оцінки – Ціна – 100%.</w:t>
            </w:r>
          </w:p>
          <w:p>
            <w:pPr>
              <w:jc w:val="both"/>
            </w:pPr>
            <w: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pPr>
              <w:widowControl w:val="0"/>
              <w:jc w:val="both"/>
              <w:rPr>
                <w:lang w:eastAsia="uk-UA"/>
              </w:rPr>
            </w:pPr>
            <w:r>
              <w:rPr>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jc w:val="both"/>
              <w:rPr>
                <w:lang w:eastAsia="uk-UA"/>
              </w:rPr>
            </w:pPr>
            <w:r>
              <w:rPr>
                <w:i/>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jc w:val="both"/>
              <w:rPr>
                <w:b/>
                <w:i/>
                <w:color w:val="4A86E8"/>
                <w:lang w:eastAsia="uk-UA"/>
              </w:rPr>
            </w:pPr>
            <w:r>
              <w:rPr>
                <w:i/>
                <w:lang w:eastAsia="uk-UA"/>
              </w:rPr>
              <w:t xml:space="preserve">До розгляду </w:t>
            </w:r>
            <w:r>
              <w:rPr>
                <w:i/>
                <w:u w:val="single"/>
                <w:lang w:eastAsia="uk-UA"/>
              </w:rPr>
              <w:t xml:space="preserve">не приймається </w:t>
            </w:r>
            <w:r>
              <w:rPr>
                <w:i/>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jc w:val="both"/>
              <w:rPr>
                <w:color w:val="000000"/>
                <w:lang w:eastAsia="uk-UA"/>
              </w:rPr>
            </w:pPr>
            <w:r>
              <w:rPr>
                <w:color w:val="000000"/>
                <w:lang w:eastAsia="uk-UA"/>
              </w:rPr>
              <w:t>Оцінка здійснюється щодо предмета закупівлі в цілому.</w:t>
            </w:r>
          </w:p>
          <w:p>
            <w:pPr>
              <w:widowControl w:val="0"/>
              <w:jc w:val="both"/>
              <w:rPr>
                <w:color w:val="000000"/>
                <w:lang w:eastAsia="uk-UA"/>
              </w:rPr>
            </w:pPr>
            <w:r>
              <w:rPr>
                <w:color w:val="000000"/>
                <w:lang w:eastAsia="uk-UA"/>
              </w:rPr>
              <w:t>АБО на окрему частину предмета закупівлі (лота), щодо яких можуть бути подані тендерні пропозиції.</w:t>
            </w:r>
          </w:p>
          <w:p>
            <w:pPr>
              <w:widowControl w:val="0"/>
              <w:jc w:val="both"/>
              <w:rPr>
                <w:color w:val="000000"/>
                <w:lang w:eastAsia="uk-UA"/>
              </w:rPr>
            </w:pPr>
            <w:r>
              <w:rPr>
                <w:lang w:eastAsia="uk-UA"/>
              </w:rPr>
              <w:t xml:space="preserve">Учасник визначає ціни на </w:t>
            </w:r>
            <w:r>
              <w:rPr>
                <w:b/>
                <w:color w:val="000000"/>
                <w:lang w:eastAsia="uk-UA"/>
              </w:rPr>
              <w:t>товар/послуги/роботи</w:t>
            </w:r>
            <w:r>
              <w:rPr>
                <w:color w:val="000000"/>
                <w:lang w:eastAsia="uk-UA"/>
              </w:rPr>
              <w:t xml:space="preserve">, що він пропонує </w:t>
            </w:r>
            <w:r>
              <w:rPr>
                <w:b/>
                <w:color w:val="000000"/>
                <w:lang w:eastAsia="uk-UA"/>
              </w:rPr>
              <w:t>поставити/надати/виконати</w:t>
            </w:r>
            <w:r>
              <w:rPr>
                <w:color w:val="FF0000"/>
                <w:lang w:eastAsia="uk-UA"/>
              </w:rPr>
              <w:t xml:space="preserve"> </w:t>
            </w:r>
            <w:r>
              <w:rPr>
                <w:lang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color w:val="000000"/>
                <w:lang w:eastAsia="uk-UA"/>
              </w:rPr>
              <w:t xml:space="preserve">усіх інших витрат, передбачених для </w:t>
            </w:r>
            <w:r>
              <w:rPr>
                <w:b/>
                <w:color w:val="000000"/>
                <w:lang w:eastAsia="uk-UA"/>
              </w:rPr>
              <w:t>товару/послуг/робіт</w:t>
            </w:r>
            <w:r>
              <w:rPr>
                <w:color w:val="000000"/>
                <w:lang w:eastAsia="uk-UA"/>
              </w:rPr>
              <w:t xml:space="preserve"> даного виду.</w:t>
            </w:r>
          </w:p>
          <w:p>
            <w:pPr>
              <w:widowControl w:val="0"/>
              <w:jc w:val="both"/>
              <w:rPr>
                <w:color w:val="000000"/>
                <w:lang w:eastAsia="uk-UA"/>
              </w:rPr>
            </w:pPr>
            <w:r>
              <w:rPr>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jc w:val="both"/>
              <w:rPr>
                <w:color w:val="000000"/>
                <w:lang w:eastAsia="uk-UA"/>
              </w:rPr>
            </w:pPr>
            <w:r>
              <w:rPr>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jc w:val="both"/>
              <w:rPr>
                <w:color w:val="000000"/>
                <w:lang w:eastAsia="uk-UA"/>
              </w:rPr>
            </w:pPr>
            <w:r>
              <w:rPr>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jc w:val="both"/>
              <w:rPr>
                <w:color w:val="000000"/>
                <w:lang w:eastAsia="uk-UA"/>
              </w:rPr>
            </w:pPr>
            <w:r>
              <w:rPr>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jc w:val="both"/>
            </w:pPr>
            <w: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w:t>
            </w:r>
          </w:p>
          <w:p>
            <w:pPr>
              <w:jc w:val="both"/>
            </w:pPr>
            <w:r>
              <w:t>Обґрунтування аномально низької тендерної пропозиції може містити інформацію про:</w:t>
            </w:r>
          </w:p>
          <w:p>
            <w:pPr>
              <w:numPr>
                <w:ilvl w:val="0"/>
                <w:numId w:val="2"/>
              </w:numPr>
              <w:spacing w:line="259" w:lineRule="auto"/>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pPr>
              <w:numPr>
                <w:ilvl w:val="0"/>
                <w:numId w:val="2"/>
              </w:numPr>
              <w:spacing w:line="259" w:lineRule="auto"/>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numPr>
                <w:ilvl w:val="0"/>
                <w:numId w:val="2"/>
              </w:numPr>
              <w:spacing w:line="259" w:lineRule="auto"/>
              <w:jc w:val="both"/>
            </w:pPr>
            <w:r>
              <w:t>отримання учасником процедури закупівлі державної допомоги згідно із законодавством.</w:t>
            </w:r>
          </w:p>
          <w:p>
            <w:pPr>
              <w:jc w:val="both"/>
            </w:pPr>
            <w: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pPr>
            <w: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pPr>
            <w: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jc w:val="both"/>
              <w:rPr>
                <w:i/>
              </w:rPr>
            </w:pPr>
            <w:r>
              <w:rPr>
                <w:i/>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jc w:val="both"/>
              <w:rPr>
                <w:lang w:eastAsia="uk-UA"/>
              </w:rPr>
            </w:pPr>
            <w:r>
              <w:rPr>
                <w:lang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pPr>
              <w:tabs>
                <w:tab w:val="left" w:pos="142"/>
              </w:tabs>
              <w:ind w:right="113"/>
              <w:jc w:val="both"/>
            </w:pPr>
            <w:r>
              <w:rPr>
                <w:lang w:eastAsia="uk-UA"/>
              </w:rPr>
              <w:t>У разі відхилення тендерної пропозиції з підстави, визначеної підпунктом 4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tabs>
                <w:tab w:val="left" w:pos="142"/>
              </w:tabs>
              <w:ind w:right="113"/>
              <w:jc w:val="both"/>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20" w:hRule="atLeast"/>
          <w:jc w:val="center"/>
        </w:trPr>
        <w:tc>
          <w:tcPr>
            <w:tcW w:w="550" w:type="dxa"/>
          </w:tcPr>
          <w:p>
            <w:pPr>
              <w:widowControl w:val="0"/>
              <w:rPr>
                <w:b/>
                <w:color w:val="000000"/>
              </w:rPr>
            </w:pPr>
            <w:r>
              <w:rPr>
                <w:b/>
                <w:color w:val="000000"/>
              </w:rPr>
              <w:t>2</w:t>
            </w:r>
          </w:p>
        </w:tc>
        <w:tc>
          <w:tcPr>
            <w:tcW w:w="3487" w:type="dxa"/>
            <w:gridSpan w:val="2"/>
          </w:tcPr>
          <w:p>
            <w:pPr>
              <w:widowControl w:val="0"/>
              <w:rPr>
                <w:color w:val="000000"/>
              </w:rPr>
            </w:pPr>
            <w:r>
              <w:rPr>
                <w:b/>
                <w:color w:val="000000"/>
              </w:rPr>
              <w:t>Інша інформація</w:t>
            </w:r>
          </w:p>
        </w:tc>
        <w:tc>
          <w:tcPr>
            <w:tcW w:w="6655" w:type="dxa"/>
          </w:tcPr>
          <w:p>
            <w:pPr>
              <w:widowControl w:val="0"/>
              <w:jc w:val="both"/>
            </w:pPr>
            <w:r>
              <w:rPr>
                <w:color w:val="000000"/>
              </w:rPr>
              <w:t>Вартість тендерної пропозиції та всі інші ціни повинні бути чітко визначені.</w:t>
            </w:r>
          </w:p>
          <w:p>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widowControl w:val="0"/>
              <w:jc w:val="both"/>
            </w:pPr>
            <w:r>
              <w:rPr>
                <w:b/>
                <w:i/>
                <w:color w:val="000000"/>
                <w:u w:val="single"/>
              </w:rPr>
              <w:t>Інші умови тендерної документації:</w:t>
            </w:r>
          </w:p>
          <w:p>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widowControl w:val="0"/>
              <w:jc w:val="both"/>
              <w:rPr>
                <w:color w:val="000000"/>
              </w:rPr>
            </w:pPr>
            <w:r>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jc w:val="both"/>
              <w:rPr>
                <w:color w:val="000000"/>
              </w:rPr>
            </w:pPr>
            <w:r>
              <w:rPr>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jc w:val="both"/>
              <w:rPr>
                <w:color w:val="000000"/>
              </w:rPr>
            </w:pPr>
            <w:r>
              <w:rPr>
                <w:color w:val="000000"/>
              </w:rPr>
              <w:t xml:space="preserve">5.  Учасники торгів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color w:val="000000"/>
              </w:rPr>
            </w:pPr>
            <w:r>
              <w:rPr>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jc w:val="both"/>
              <w:rPr>
                <w:color w:val="000000"/>
              </w:rPr>
            </w:pPr>
            <w:r>
              <w:rPr>
                <w:color w:val="000000"/>
              </w:rPr>
              <w:t xml:space="preserve">8. Учасник, який подав тендерну пропозицію вважається таким, що згодний з проектом договору про закупівлю, викладеним в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jc w:val="both"/>
              <w:rPr>
                <w:color w:val="000000"/>
              </w:rPr>
            </w:pPr>
            <w:r>
              <w:rPr>
                <w:color w:val="000000"/>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widowControl w:val="0"/>
              <w:jc w:val="both"/>
              <w:rPr>
                <w:color w:val="000000"/>
              </w:rPr>
            </w:pPr>
            <w:r>
              <w:rPr>
                <w:color w:val="000000"/>
              </w:rPr>
              <w:t>Примітка:</w:t>
            </w:r>
          </w:p>
          <w:p>
            <w:pPr>
              <w:widowControl w:val="0"/>
              <w:jc w:val="both"/>
              <w:rPr>
                <w:i/>
                <w:color w:val="000000"/>
                <w:sz w:val="20"/>
                <w:szCs w:val="20"/>
                <w:highlight w:val="white"/>
              </w:rPr>
            </w:pPr>
            <w:r>
              <w:rPr>
                <w:i/>
                <w:sz w:val="20"/>
                <w:szCs w:val="20"/>
              </w:rPr>
              <w:t>*У разі застосовування зазначеної санкції  З</w:t>
            </w:r>
            <w:r>
              <w:rPr>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r>
              <w:fldChar w:fldCharType="begin"/>
            </w:r>
            <w:r>
              <w:instrText xml:space="preserve"> HYPERLINK "https://zakon.rada.gov.ua/laws/show/922-19" \l "n1422" \h </w:instrText>
            </w:r>
            <w:r>
              <w:fldChar w:fldCharType="separate"/>
            </w:r>
            <w:r>
              <w:rPr>
                <w:i/>
                <w:color w:val="000000"/>
                <w:sz w:val="20"/>
                <w:szCs w:val="20"/>
                <w:highlight w:val="white"/>
              </w:rPr>
              <w:t>абзацом першим</w:t>
            </w:r>
            <w:r>
              <w:rPr>
                <w:i/>
                <w:color w:val="000000"/>
                <w:sz w:val="20"/>
                <w:szCs w:val="20"/>
                <w:highlight w:val="white"/>
              </w:rPr>
              <w:fldChar w:fldCharType="end"/>
            </w:r>
            <w:r>
              <w:rPr>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pPr>
              <w:jc w:val="both"/>
            </w:pPr>
            <w:r>
              <w:t xml:space="preserve">12. Замовник самостійно перевіряє інформацію про те, що учасник процедури закупівлі не є громадянином </w:t>
            </w:r>
            <w:r>
              <w:rPr>
                <w:rStyle w:val="11"/>
                <w:color w:val="333333"/>
                <w:shd w:val="clear" w:color="auto" w:fill="FFFFFF"/>
              </w:rPr>
              <w:t>Російської Федерації / Республіки Білорусь / Ісламської Республіки Іран</w:t>
            </w:r>
            <w:r>
              <w:rPr>
                <w:color w:val="333333"/>
                <w:shd w:val="clear" w:color="auto" w:fill="FFFFFF"/>
              </w:rPr>
              <w:t> (крім тих, що проживають на території України на законних підставах)</w:t>
            </w:r>
            <w:r>
              <w:t xml:space="preserve">; юридичною особою, утвореною та зареєстрованою відповідно до законодавства </w:t>
            </w:r>
            <w:r>
              <w:rPr>
                <w:color w:val="333333"/>
                <w:shd w:val="clear" w:color="auto" w:fill="FFFFFF"/>
              </w:rPr>
              <w:t>Російської Федерації / Республіки Білорусь / Ісламської Республіки Іран</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Pr>
                <w:color w:val="333333"/>
                <w:shd w:val="clear" w:color="auto" w:fill="FFFFFF"/>
              </w:rPr>
              <w:t>Ісламська Республіка Іран</w:t>
            </w:r>
            <w:r>
              <w:t>, громадянином Російської Федерації / Республіки Білорусь /</w:t>
            </w:r>
            <w:r>
              <w:rPr>
                <w:color w:val="333333"/>
                <w:shd w:val="clear" w:color="auto" w:fill="FFFFFF"/>
              </w:rPr>
              <w:t xml:space="preserve"> Ісламська Республіаи Іран</w:t>
            </w:r>
            <w: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Pr>
                <w:color w:val="333333"/>
                <w:shd w:val="clear" w:color="auto" w:fill="FFFFFF"/>
              </w:rPr>
              <w:t>Ісламської Республіки Іран</w:t>
            </w:r>
            <w:r>
              <w:t>.</w:t>
            </w:r>
          </w:p>
          <w:p>
            <w:pPr>
              <w:jc w:val="both"/>
            </w:pPr>
            <w: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color w:val="333333"/>
                <w:shd w:val="clear" w:color="auto" w:fill="FFFFFF"/>
              </w:rPr>
              <w:t xml:space="preserve"> Ісламської Республіки Іран</w:t>
            </w:r>
            <w:r>
              <w:t xml:space="preserve"> та проживає на території України на законних підставах, то учасник у складі тендерної пропозиції має надати: 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w:t>
            </w:r>
          </w:p>
          <w:p>
            <w:pPr>
              <w:jc w:val="both"/>
            </w:pPr>
            <w: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color w:val="333333"/>
                <w:shd w:val="clear" w:color="auto" w:fill="FFFFFF"/>
              </w:rPr>
              <w:t xml:space="preserve"> Ісламської Республіки Іран</w:t>
            </w:r>
            <w: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jc w:val="both"/>
            </w:pPr>
            <w: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jc w:val="both"/>
            </w:pPr>
            <w:r>
              <w:t>або </w:t>
            </w:r>
          </w:p>
          <w:p>
            <w:pPr>
              <w:jc w:val="both"/>
            </w:pPr>
            <w:r>
              <w:t>згоду самого власника активів про передачу активів, підпис якої нотаріально завірений в установленому законодавством порядку.</w:t>
            </w:r>
          </w:p>
          <w:p>
            <w:pPr>
              <w:jc w:val="both"/>
            </w:pPr>
            <w: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jc w:val="both"/>
            </w:pPr>
            <w: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shd w:val="clear" w:color="auto" w:fill="FFFFFF"/>
              </w:rPr>
              <w:t xml:space="preserve"> Ісламської Республіки Іран та</w:t>
            </w:r>
            <w: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shd w:val="clear" w:color="auto" w:fill="FFFFFF"/>
              </w:rPr>
              <w:t xml:space="preserve"> Ісламської Республіки Іран</w:t>
            </w:r>
            <w: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shd w:val="clear" w:color="auto" w:fill="FFFFFF"/>
              </w:rPr>
              <w:t xml:space="preserve"> Ісламської Республіки Іран</w:t>
            </w:r>
            <w: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shd w:val="clear" w:color="auto" w:fill="FFFFFF"/>
              </w:rPr>
              <w:t xml:space="preserve"> Ісламської Республіки Іран</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Pr>
                <w:shd w:val="clear" w:color="auto" w:fill="FFFFFF"/>
              </w:rPr>
              <w:t>Ісламської Республіки Іран</w:t>
            </w:r>
            <w:r>
              <w:t xml:space="preserve">, громадянин Російської Федерації / Республіки Білорусь / </w:t>
            </w:r>
            <w:r>
              <w:rPr>
                <w:shd w:val="clear" w:color="auto" w:fill="FFFFFF"/>
              </w:rPr>
              <w:t>Ісламської Республіки Іран</w:t>
            </w:r>
            <w: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Pr>
                <w:shd w:val="clear" w:color="auto" w:fill="FFFFFF"/>
              </w:rPr>
              <w:t>Ісламської Республіки Іран</w:t>
            </w:r>
            <w:r>
              <w:t>, замовник відхиляє такого учасника на підставі абзацу 8 підпункту 1 пункту 44 Особливостей.</w:t>
            </w:r>
          </w:p>
          <w:p>
            <w:pPr>
              <w:jc w:val="both"/>
            </w:pPr>
            <w: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r>
              <w:rPr>
                <w:shd w:val="clear" w:color="auto" w:fill="FFFFFF"/>
              </w:rPr>
              <w:t xml:space="preserve"> Ісламської Республіки Іран</w:t>
            </w:r>
            <w:r>
              <w:t>. </w:t>
            </w:r>
          </w:p>
          <w:p>
            <w:pPr>
              <w:jc w:val="both"/>
            </w:pPr>
            <w: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jc w:val="both"/>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cs="Calibri"/>
                <w:lang w:eastAsia="uk-UA"/>
              </w:rPr>
            </w:pPr>
            <w:r>
              <w:rPr>
                <w:i/>
                <w:iCs/>
              </w:rPr>
              <w:t xml:space="preserve"> 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20" w:hRule="atLeast"/>
          <w:jc w:val="center"/>
        </w:trPr>
        <w:tc>
          <w:tcPr>
            <w:tcW w:w="550" w:type="dxa"/>
          </w:tcPr>
          <w:p>
            <w:pPr>
              <w:widowControl w:val="0"/>
              <w:rPr>
                <w:color w:val="000000"/>
              </w:rPr>
            </w:pPr>
            <w:r>
              <w:rPr>
                <w:color w:val="000000"/>
              </w:rPr>
              <w:t>4</w:t>
            </w:r>
          </w:p>
        </w:tc>
        <w:tc>
          <w:tcPr>
            <w:tcW w:w="3487" w:type="dxa"/>
            <w:gridSpan w:val="2"/>
          </w:tcPr>
          <w:p>
            <w:pPr>
              <w:widowControl w:val="0"/>
              <w:rPr>
                <w:b/>
                <w:color w:val="000000"/>
              </w:rPr>
            </w:pPr>
            <w:r>
              <w:rPr>
                <w:b/>
                <w:color w:val="000000"/>
              </w:rPr>
              <w:t>Відхилення тендерних пропозицій</w:t>
            </w:r>
          </w:p>
        </w:tc>
        <w:tc>
          <w:tcPr>
            <w:tcW w:w="6655" w:type="dxa"/>
          </w:tcPr>
          <w:p>
            <w:pPr>
              <w:jc w:val="both"/>
            </w:pPr>
            <w:r>
              <w:t>Замовник відхиляє тендерну пропозицію із зазначенням аргументації в електронній системі закупівель у разі, коли:</w:t>
            </w:r>
          </w:p>
          <w:p>
            <w:pPr>
              <w:jc w:val="both"/>
            </w:pPr>
            <w:r>
              <w:t>1) учасник процедури закупівлі:</w:t>
            </w:r>
          </w:p>
          <w:p>
            <w:pPr>
              <w:jc w:val="both"/>
            </w:pPr>
            <w:r>
              <w:t>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jc w:val="both"/>
            </w:pPr>
            <w:r>
              <w:t>не надав забезпечення тендерної пропозиції, якщо таке забезпечення вимагалося замовником;</w:t>
            </w:r>
          </w:p>
          <w:p>
            <w:pPr>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jc w:val="both"/>
            </w:pPr>
            <w:r>
              <w:t>визначив конфіденційною інформацію, що не може бути визначена як конфіденційна відповідно до вимог пункту 40 цих особливостей;</w:t>
            </w:r>
          </w:p>
          <w:p>
            <w:pPr>
              <w:jc w:val="both"/>
            </w:pPr>
            <w:r>
              <w:t xml:space="preserve">є громадянином Російської Федерації/Республіки Білорусь / </w:t>
            </w:r>
            <w:r>
              <w:rPr>
                <w:shd w:val="clear" w:color="auto" w:fill="FFFFFF"/>
              </w:rPr>
              <w:t>Ісламської Республіки Іран</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 </w:t>
            </w:r>
            <w:r>
              <w:rPr>
                <w:shd w:val="clear" w:color="auto" w:fill="FFFFFF"/>
              </w:rPr>
              <w:t>Ісламської Республіки Іран</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 </w:t>
            </w:r>
            <w:r>
              <w:rPr>
                <w:shd w:val="clear" w:color="auto" w:fill="FFFFFF"/>
              </w:rPr>
              <w:t xml:space="preserve">Ісламської Республіки Іран </w:t>
            </w:r>
            <w:r>
              <w:t xml:space="preserve">, громадянин Російської Федерації / Республіки Білорусь / </w:t>
            </w:r>
            <w:r>
              <w:rPr>
                <w:shd w:val="clear" w:color="auto" w:fill="FFFFFF"/>
              </w:rPr>
              <w:t>Ісламської Республіки Іран</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Pr>
                <w:shd w:val="clear" w:color="auto" w:fill="FFFFFF"/>
              </w:rPr>
              <w:t xml:space="preserve"> Ісламської Республіки Іран</w:t>
            </w:r>
            <w: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 </w:t>
            </w:r>
            <w:r>
              <w:rPr>
                <w:shd w:val="clear" w:color="auto" w:fill="FFFFFF"/>
              </w:rPr>
              <w:t>Ісламської Республіки Іран</w:t>
            </w:r>
            <w: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jc w:val="both"/>
            </w:pPr>
            <w:r>
              <w:t>2) тендерна пропозиція:</w:t>
            </w:r>
          </w:p>
          <w:p>
            <w:pPr>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jc w:val="both"/>
            </w:pPr>
            <w:r>
              <w:t>є такою, строк дії якої закінчився;</w:t>
            </w:r>
          </w:p>
          <w:p>
            <w:pPr>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jc w:val="both"/>
            </w:pPr>
            <w:r>
              <w:t>не відповідає вимогам, установленим у тендерній документації відповідно до абзацу першого частини третьої статті 22 Закону;</w:t>
            </w:r>
          </w:p>
          <w:p>
            <w:pPr>
              <w:jc w:val="both"/>
            </w:pPr>
            <w:r>
              <w:t>3) переможець процедури закупівлі:</w:t>
            </w:r>
          </w:p>
          <w:p>
            <w:pPr>
              <w:jc w:val="both"/>
            </w:pPr>
            <w:r>
              <w:t>відмовився від підписання договору про закупівлю відповідно до вимог тендерної документації або укладення договору про закупівлю;</w:t>
            </w:r>
          </w:p>
          <w:p>
            <w:pPr>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jc w:val="both"/>
            </w:pPr>
            <w:r>
              <w:t>не надав забезпечення виконання договору про закупівлю, якщо таке забезпечення вимагалося замовником;</w:t>
            </w:r>
          </w:p>
          <w:p>
            <w:pPr>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jc w:val="both"/>
            </w:pPr>
            <w:r>
              <w:t>Замовник може відхилити тендерну пропозицію із зазначенням аргументації в електронній системі закупівель у разі, коли:</w:t>
            </w:r>
          </w:p>
          <w:p>
            <w:pPr>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20" w:hRule="atLeast"/>
          <w:jc w:val="center"/>
        </w:trPr>
        <w:tc>
          <w:tcPr>
            <w:tcW w:w="10692" w:type="dxa"/>
            <w:gridSpan w:val="4"/>
            <w:vAlign w:val="center"/>
          </w:tcPr>
          <w:p>
            <w:pPr>
              <w:widowControl w:val="0"/>
              <w:ind w:hanging="20"/>
              <w:jc w:val="center"/>
              <w:rPr>
                <w:color w:val="000000"/>
              </w:rPr>
            </w:pPr>
            <w:r>
              <w:rPr>
                <w:b/>
                <w:color w:val="000000"/>
              </w:rPr>
              <w:t>Розділ 6. Результати торгів та укладання договору про закупівлю</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20" w:hRule="atLeast"/>
          <w:jc w:val="center"/>
        </w:trPr>
        <w:tc>
          <w:tcPr>
            <w:tcW w:w="550" w:type="dxa"/>
          </w:tcPr>
          <w:p>
            <w:pPr>
              <w:widowControl w:val="0"/>
              <w:jc w:val="both"/>
              <w:rPr>
                <w:color w:val="000000"/>
              </w:rPr>
            </w:pPr>
            <w:r>
              <w:rPr>
                <w:color w:val="000000"/>
              </w:rPr>
              <w:t>1</w:t>
            </w:r>
          </w:p>
        </w:tc>
        <w:tc>
          <w:tcPr>
            <w:tcW w:w="3487" w:type="dxa"/>
            <w:gridSpan w:val="2"/>
          </w:tcPr>
          <w:p>
            <w:pPr>
              <w:tabs>
                <w:tab w:val="left" w:pos="142"/>
              </w:tabs>
              <w:ind w:right="113"/>
              <w:rPr>
                <w:b/>
              </w:rPr>
            </w:pPr>
            <w:r>
              <w:rPr>
                <w:b/>
                <w:color w:val="000000"/>
              </w:rPr>
              <w:t>Відміна замовником торгів чи визнання їх такими, що не відбулися</w:t>
            </w:r>
          </w:p>
        </w:tc>
        <w:tc>
          <w:tcPr>
            <w:tcW w:w="6655" w:type="dxa"/>
          </w:tcPr>
          <w:p>
            <w:pPr>
              <w:widowControl w:val="0"/>
              <w:jc w:val="both"/>
              <w:rPr>
                <w:b/>
                <w:i/>
                <w:lang w:eastAsia="uk-UA"/>
              </w:rPr>
            </w:pPr>
            <w:r>
              <w:rPr>
                <w:b/>
                <w:i/>
                <w:lang w:eastAsia="uk-UA"/>
              </w:rPr>
              <w:t>Замовник відміняє відкриті торги у разі:</w:t>
            </w:r>
          </w:p>
          <w:p>
            <w:pPr>
              <w:widowControl w:val="0"/>
              <w:jc w:val="both"/>
              <w:rPr>
                <w:lang w:eastAsia="uk-UA"/>
              </w:rPr>
            </w:pPr>
            <w:r>
              <w:rPr>
                <w:lang w:eastAsia="uk-UA"/>
              </w:rPr>
              <w:t>1) відсутності подальшої потреби в закупівлі товарів, робіт чи послуг;</w:t>
            </w:r>
          </w:p>
          <w:p>
            <w:pPr>
              <w:widowControl w:val="0"/>
              <w:jc w:val="both"/>
              <w:rPr>
                <w:lang w:eastAsia="uk-UA"/>
              </w:rPr>
            </w:pPr>
            <w:r>
              <w:rPr>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jc w:val="both"/>
              <w:rPr>
                <w:lang w:eastAsia="uk-UA"/>
              </w:rPr>
            </w:pPr>
            <w:r>
              <w:rPr>
                <w:lang w:eastAsia="uk-UA"/>
              </w:rPr>
              <w:t>3) скорочення обсягу видатків на здійснення закупівлі товарів, робіт чи послуг;</w:t>
            </w:r>
          </w:p>
          <w:p>
            <w:pPr>
              <w:widowControl w:val="0"/>
              <w:jc w:val="both"/>
              <w:rPr>
                <w:lang w:eastAsia="uk-UA"/>
              </w:rPr>
            </w:pPr>
            <w:r>
              <w:rPr>
                <w:lang w:eastAsia="uk-UA"/>
              </w:rPr>
              <w:t>4) коли здійснення закупівлі стало неможливим внаслідок дії обставин непереборної сили.</w:t>
            </w:r>
          </w:p>
          <w:p>
            <w:pPr>
              <w:widowControl w:val="0"/>
              <w:jc w:val="both"/>
              <w:rPr>
                <w:lang w:eastAsia="uk-UA"/>
              </w:rPr>
            </w:pPr>
            <w:r>
              <w:rPr>
                <w:lang w:eastAsia="uk-UA"/>
              </w:rPr>
              <w:t xml:space="preserve">У разі відміни відкритих торгів замовник </w:t>
            </w:r>
            <w:r>
              <w:rPr>
                <w:b/>
                <w:i/>
                <w:lang w:eastAsia="uk-UA"/>
              </w:rPr>
              <w:t>протягом одного робочого дня</w:t>
            </w:r>
            <w:r>
              <w:rPr>
                <w:lang w:eastAsia="uk-UA"/>
              </w:rPr>
              <w:t xml:space="preserve"> з дати прийняття відповідного рішення зазначає в електронній системі закупівель підстави прийняття такого рішення.</w:t>
            </w:r>
          </w:p>
          <w:p>
            <w:pPr>
              <w:jc w:val="both"/>
            </w:pPr>
            <w:r>
              <w:rPr>
                <w:color w:val="000000"/>
              </w:rPr>
              <w:t>Відкриті торги автоматично відміняються електронною системою закупівель у разі:</w:t>
            </w:r>
          </w:p>
          <w:p>
            <w:pPr>
              <w:jc w:val="both"/>
            </w:pPr>
            <w:r>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pPr>
            <w:r>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pPr>
              <w:jc w:val="both"/>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pPr>
            <w:r>
              <w:rPr>
                <w:color w:val="000000"/>
              </w:rPr>
              <w:t>Відкриті торги можуть бути відмінені частково (за лотом).</w:t>
            </w:r>
          </w:p>
          <w:p>
            <w:pPr>
              <w:jc w:val="both"/>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20" w:hRule="atLeast"/>
          <w:jc w:val="center"/>
        </w:trPr>
        <w:tc>
          <w:tcPr>
            <w:tcW w:w="550" w:type="dxa"/>
          </w:tcPr>
          <w:p>
            <w:pPr>
              <w:widowControl w:val="0"/>
              <w:jc w:val="both"/>
              <w:rPr>
                <w:color w:val="000000"/>
              </w:rPr>
            </w:pPr>
            <w:r>
              <w:rPr>
                <w:color w:val="000000"/>
              </w:rPr>
              <w:t>2</w:t>
            </w:r>
          </w:p>
        </w:tc>
        <w:tc>
          <w:tcPr>
            <w:tcW w:w="3487" w:type="dxa"/>
            <w:gridSpan w:val="2"/>
          </w:tcPr>
          <w:p>
            <w:pPr>
              <w:tabs>
                <w:tab w:val="left" w:pos="142"/>
              </w:tabs>
              <w:ind w:right="113"/>
              <w:jc w:val="both"/>
              <w:rPr>
                <w:b/>
              </w:rPr>
            </w:pPr>
            <w:r>
              <w:rPr>
                <w:b/>
                <w:color w:val="000000"/>
              </w:rPr>
              <w:t xml:space="preserve">Строк укладання договору </w:t>
            </w:r>
          </w:p>
        </w:tc>
        <w:tc>
          <w:tcPr>
            <w:tcW w:w="6655" w:type="dxa"/>
          </w:tcPr>
          <w:p>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20" w:hRule="atLeast"/>
          <w:jc w:val="center"/>
        </w:trPr>
        <w:tc>
          <w:tcPr>
            <w:tcW w:w="550" w:type="dxa"/>
          </w:tcPr>
          <w:p>
            <w:pPr>
              <w:widowControl w:val="0"/>
              <w:jc w:val="both"/>
              <w:rPr>
                <w:color w:val="000000"/>
              </w:rPr>
            </w:pPr>
            <w:r>
              <w:rPr>
                <w:color w:val="000000"/>
              </w:rPr>
              <w:t>3</w:t>
            </w:r>
          </w:p>
        </w:tc>
        <w:tc>
          <w:tcPr>
            <w:tcW w:w="3487" w:type="dxa"/>
            <w:gridSpan w:val="2"/>
          </w:tcPr>
          <w:p>
            <w:pPr>
              <w:widowControl w:val="0"/>
              <w:rPr>
                <w:color w:val="000000"/>
              </w:rPr>
            </w:pPr>
            <w:r>
              <w:rPr>
                <w:b/>
                <w:color w:val="000000"/>
              </w:rPr>
              <w:t xml:space="preserve">Проєкт договору про закупівлю </w:t>
            </w:r>
          </w:p>
        </w:tc>
        <w:tc>
          <w:tcPr>
            <w:tcW w:w="6655" w:type="dxa"/>
          </w:tcPr>
          <w:p>
            <w:pPr>
              <w:widowControl w:val="0"/>
              <w:ind w:right="120"/>
              <w:jc w:val="both"/>
              <w:rPr>
                <w:color w:val="000000"/>
              </w:rPr>
            </w:pPr>
            <w:r>
              <w:rPr>
                <w:color w:val="000000"/>
              </w:rPr>
              <w:t xml:space="preserve">Проєкт </w:t>
            </w:r>
            <w: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20" w:hRule="atLeast"/>
          <w:jc w:val="center"/>
        </w:trPr>
        <w:tc>
          <w:tcPr>
            <w:tcW w:w="550" w:type="dxa"/>
          </w:tcPr>
          <w:p>
            <w:pPr>
              <w:widowControl w:val="0"/>
              <w:jc w:val="center"/>
            </w:pPr>
            <w:r>
              <w:rPr>
                <w:color w:val="000000"/>
              </w:rPr>
              <w:t>4</w:t>
            </w:r>
          </w:p>
        </w:tc>
        <w:tc>
          <w:tcPr>
            <w:tcW w:w="3487" w:type="dxa"/>
            <w:gridSpan w:val="2"/>
          </w:tcPr>
          <w:p>
            <w:pPr>
              <w:rPr>
                <w:b/>
              </w:rPr>
            </w:pPr>
            <w:r>
              <w:rPr>
                <w:b/>
              </w:rPr>
              <w:t>Умови укладання договору про закупівлю</w:t>
            </w:r>
          </w:p>
        </w:tc>
        <w:tc>
          <w:tcPr>
            <w:tcW w:w="6655" w:type="dxa"/>
          </w:tcPr>
          <w:p>
            <w:pPr>
              <w:jc w:val="both"/>
            </w:pPr>
            <w: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jc w:val="both"/>
            </w:pPr>
            <w:r>
              <w:t>визначення грошового еквівалента зобов’язання в іноземній валюті;</w:t>
            </w:r>
          </w:p>
          <w:p>
            <w:pPr>
              <w:jc w:val="both"/>
            </w:pPr>
            <w:r>
              <w:t>перерахунку ціни в бік зменшення ціни тендерної пропозиції переможця без зменшення обсягів закупівлі;</w:t>
            </w:r>
          </w:p>
          <w:p>
            <w:pPr>
              <w:jc w:val="both"/>
            </w:pPr>
            <w:r>
              <w:t>перерахунку ціни та обсягів товарів в бік зменшення за умови необхідності приведення обсягів товарів до кратності упаковки.</w:t>
            </w:r>
          </w:p>
          <w:p>
            <w:pPr>
              <w:jc w:val="both"/>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jc w:val="both"/>
            </w:pPr>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jc w:val="both"/>
            </w:pPr>
            <w: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pP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20" w:hRule="atLeast"/>
          <w:jc w:val="center"/>
        </w:trPr>
        <w:tc>
          <w:tcPr>
            <w:tcW w:w="550" w:type="dxa"/>
          </w:tcPr>
          <w:p>
            <w:pPr>
              <w:widowControl w:val="0"/>
              <w:jc w:val="center"/>
              <w:rPr>
                <w:sz w:val="22"/>
                <w:szCs w:val="22"/>
              </w:rPr>
            </w:pPr>
            <w:r>
              <w:rPr>
                <w:color w:val="000000"/>
                <w:sz w:val="22"/>
                <w:szCs w:val="22"/>
              </w:rPr>
              <w:t>5</w:t>
            </w:r>
          </w:p>
        </w:tc>
        <w:tc>
          <w:tcPr>
            <w:tcW w:w="3487" w:type="dxa"/>
            <w:gridSpan w:val="2"/>
          </w:tcPr>
          <w:p>
            <w:pPr>
              <w:tabs>
                <w:tab w:val="left" w:pos="142"/>
              </w:tabs>
              <w:ind w:right="113"/>
              <w:rPr>
                <w:b/>
              </w:rPr>
            </w:pPr>
            <w:r>
              <w:rPr>
                <w:b/>
                <w:color w:val="000000"/>
              </w:rPr>
              <w:t>Дії замовника при відмові переможця торгів підписати договір про закупівлю</w:t>
            </w:r>
          </w:p>
        </w:tc>
        <w:tc>
          <w:tcPr>
            <w:tcW w:w="6655" w:type="dxa"/>
          </w:tcPr>
          <w:p>
            <w:pPr>
              <w:jc w:val="both"/>
            </w:pPr>
            <w: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68" w:hRule="atLeast"/>
          <w:jc w:val="center"/>
        </w:trPr>
        <w:tc>
          <w:tcPr>
            <w:tcW w:w="550" w:type="dxa"/>
          </w:tcPr>
          <w:p>
            <w:pPr>
              <w:widowControl w:val="0"/>
              <w:jc w:val="both"/>
              <w:rPr>
                <w:color w:val="000000"/>
                <w:sz w:val="22"/>
                <w:szCs w:val="22"/>
              </w:rPr>
            </w:pPr>
            <w:r>
              <w:rPr>
                <w:color w:val="000000"/>
                <w:sz w:val="22"/>
                <w:szCs w:val="22"/>
              </w:rPr>
              <w:t>6</w:t>
            </w:r>
          </w:p>
        </w:tc>
        <w:tc>
          <w:tcPr>
            <w:tcW w:w="3487" w:type="dxa"/>
            <w:gridSpan w:val="2"/>
          </w:tcPr>
          <w:p>
            <w:pPr>
              <w:widowControl w:val="0"/>
              <w:rPr>
                <w:color w:val="000000"/>
                <w:sz w:val="22"/>
                <w:szCs w:val="22"/>
              </w:rPr>
            </w:pPr>
            <w:r>
              <w:rPr>
                <w:b/>
                <w:color w:val="000000"/>
                <w:sz w:val="22"/>
                <w:szCs w:val="22"/>
              </w:rPr>
              <w:t>Забезпечення виконання договору про закупівлю</w:t>
            </w:r>
          </w:p>
        </w:tc>
        <w:tc>
          <w:tcPr>
            <w:tcW w:w="6655" w:type="dxa"/>
          </w:tcPr>
          <w:p>
            <w:pPr>
              <w:jc w:val="both"/>
              <w:rPr>
                <w:color w:val="000000"/>
              </w:rPr>
            </w:pPr>
            <w:r>
              <w:rPr>
                <w:color w:val="000000"/>
              </w:rPr>
              <w:t>Забезпечення виконання договору про закупівлю не вимагається.</w:t>
            </w:r>
          </w:p>
          <w:p>
            <w:pPr>
              <w:jc w:val="both"/>
              <w:rPr>
                <w:sz w:val="22"/>
                <w:szCs w:val="22"/>
              </w:rPr>
            </w:pPr>
          </w:p>
        </w:tc>
      </w:tr>
    </w:tbl>
    <w:p>
      <w:pPr>
        <w:pStyle w:val="36"/>
        <w:rPr>
          <w:rFonts w:ascii="Times New Roman" w:hAnsi="Times New Roman"/>
          <w:sz w:val="24"/>
          <w:szCs w:val="24"/>
          <w:lang w:val="uk-UA"/>
        </w:rPr>
      </w:pPr>
    </w:p>
    <w:p>
      <w:pPr>
        <w:pStyle w:val="36"/>
        <w:rPr>
          <w:rFonts w:ascii="Times New Roman" w:hAnsi="Times New Roman"/>
          <w:sz w:val="24"/>
          <w:szCs w:val="24"/>
          <w:lang w:val="uk-UA"/>
        </w:rPr>
      </w:pPr>
      <w:r>
        <w:rPr>
          <w:rFonts w:ascii="Times New Roman" w:hAnsi="Times New Roman"/>
          <w:sz w:val="24"/>
          <w:szCs w:val="24"/>
          <w:lang w:val="uk-UA"/>
        </w:rPr>
        <w:t>Додаток 1 «Кваліфікаційні критерії та вимоги по пункту 47 Особливостей»;</w:t>
      </w:r>
    </w:p>
    <w:p>
      <w:pPr>
        <w:pStyle w:val="36"/>
        <w:rPr>
          <w:rFonts w:ascii="Times New Roman" w:hAnsi="Times New Roman"/>
          <w:sz w:val="24"/>
          <w:szCs w:val="24"/>
          <w:lang w:val="uk-UA"/>
        </w:rPr>
      </w:pPr>
      <w:r>
        <w:rPr>
          <w:rFonts w:ascii="Times New Roman" w:hAnsi="Times New Roman"/>
          <w:sz w:val="24"/>
          <w:szCs w:val="24"/>
          <w:lang w:val="uk-UA"/>
        </w:rPr>
        <w:t>Додаток 2 «Технічна специфікація»;</w:t>
      </w:r>
    </w:p>
    <w:p>
      <w:pPr>
        <w:pStyle w:val="36"/>
        <w:rPr>
          <w:rFonts w:hint="default" w:ascii="Times New Roman" w:hAnsi="Times New Roman"/>
          <w:sz w:val="24"/>
          <w:szCs w:val="24"/>
          <w:lang w:val="uk-UA"/>
        </w:rPr>
      </w:pPr>
      <w:r>
        <w:rPr>
          <w:rFonts w:ascii="Times New Roman" w:hAnsi="Times New Roman"/>
          <w:sz w:val="24"/>
          <w:szCs w:val="24"/>
          <w:lang w:val="uk-UA"/>
        </w:rPr>
        <w:t>Додаток 3 «Проєкт договору про закупівлю»</w:t>
      </w:r>
      <w:bookmarkStart w:id="5" w:name="_Hlk109891357"/>
      <w:bookmarkEnd w:id="5"/>
      <w:r>
        <w:rPr>
          <w:rFonts w:hint="default" w:ascii="Times New Roman" w:hAnsi="Times New Roman"/>
          <w:sz w:val="24"/>
          <w:szCs w:val="24"/>
          <w:lang w:val="uk-UA"/>
        </w:rPr>
        <w:t>;</w:t>
      </w:r>
    </w:p>
    <w:p>
      <w:pPr>
        <w:pStyle w:val="36"/>
        <w:rPr>
          <w:rFonts w:hint="default" w:ascii="Times New Roman" w:hAnsi="Times New Roman"/>
          <w:sz w:val="24"/>
          <w:szCs w:val="24"/>
          <w:lang w:val="uk-UA"/>
        </w:rPr>
      </w:pPr>
      <w:r>
        <w:rPr>
          <w:rFonts w:ascii="Times New Roman" w:hAnsi="Times New Roman"/>
          <w:sz w:val="24"/>
          <w:szCs w:val="24"/>
          <w:lang w:val="uk-UA"/>
        </w:rPr>
        <w:t>Додаток</w:t>
      </w:r>
      <w:r>
        <w:rPr>
          <w:rFonts w:hint="default" w:ascii="Times New Roman" w:hAnsi="Times New Roman"/>
          <w:sz w:val="24"/>
          <w:szCs w:val="24"/>
          <w:lang w:val="uk-UA"/>
        </w:rPr>
        <w:t xml:space="preserve"> 4 </w:t>
      </w:r>
      <w:r>
        <w:rPr>
          <w:rFonts w:ascii="Times New Roman" w:hAnsi="Times New Roman"/>
          <w:sz w:val="24"/>
          <w:szCs w:val="24"/>
          <w:lang w:val="uk-UA"/>
        </w:rPr>
        <w:t>«Тендерна</w:t>
      </w:r>
      <w:r>
        <w:rPr>
          <w:rFonts w:hint="default" w:ascii="Times New Roman" w:hAnsi="Times New Roman"/>
          <w:sz w:val="24"/>
          <w:szCs w:val="24"/>
          <w:lang w:val="uk-UA"/>
        </w:rPr>
        <w:t xml:space="preserve">  (цінова) пропозиція</w:t>
      </w:r>
      <w:r>
        <w:rPr>
          <w:rFonts w:ascii="Times New Roman" w:hAnsi="Times New Roman"/>
          <w:sz w:val="24"/>
          <w:szCs w:val="24"/>
          <w:lang w:val="uk-UA"/>
        </w:rPr>
        <w:t>»</w:t>
      </w:r>
      <w:r>
        <w:rPr>
          <w:rFonts w:hint="default" w:ascii="Times New Roman" w:hAnsi="Times New Roman"/>
          <w:sz w:val="24"/>
          <w:szCs w:val="24"/>
          <w:lang w:val="uk-UA"/>
        </w:rPr>
        <w:t>.</w:t>
      </w:r>
    </w:p>
    <w:sectPr>
      <w:headerReference r:id="rId3" w:type="default"/>
      <w:pgSz w:w="11906" w:h="16838"/>
      <w:pgMar w:top="1134" w:right="1133" w:bottom="1134" w:left="1701" w:header="708" w:footer="708"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Calibri">
    <w:altName w:val="Trebuchet MS"/>
    <w:panose1 w:val="00000000000000000000"/>
    <w:charset w:val="00"/>
    <w:family w:val="auto"/>
    <w:pitch w:val="default"/>
    <w:sig w:usb0="00000000" w:usb1="00000000" w:usb2="00000000" w:usb3="00000000" w:csb0="00000000" w:csb1="00000000"/>
  </w:font>
  <w:font w:name="Tahoma">
    <w:altName w:val="DejaVu Sans"/>
    <w:panose1 w:val="020B0604030504040204"/>
    <w:charset w:val="CC"/>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Consolas">
    <w:altName w:val="Hack"/>
    <w:panose1 w:val="020B0609020204030204"/>
    <w:charset w:val="CC"/>
    <w:family w:val="modern"/>
    <w:pitch w:val="default"/>
    <w:sig w:usb0="00000000" w:usb1="00000000" w:usb2="00000001" w:usb3="00000000" w:csb0="0000019F" w:csb1="00000000"/>
  </w:font>
  <w:font w:name="Hack">
    <w:panose1 w:val="020B0609030202020204"/>
    <w:charset w:val="00"/>
    <w:family w:val="auto"/>
    <w:pitch w:val="default"/>
    <w:sig w:usb0="A50006EF" w:usb1="1000B8FB" w:usb2="00000020" w:usb3="00000000" w:csb0="2000019F" w:csb1="DFD70000"/>
  </w:font>
  <w:font w:name="Liberation Serif">
    <w:panose1 w:val="02020603050405020304"/>
    <w:charset w:val="CC"/>
    <w:family w:val="roman"/>
    <w:pitch w:val="default"/>
    <w:sig w:usb0="A00002AF" w:usb1="500078FB" w:usb2="00000000" w:usb3="00000000" w:csb0="6000009F" w:csb1="DFD70000"/>
  </w:font>
  <w:font w:name="Lohit Devanagari">
    <w:panose1 w:val="020B0600000000000000"/>
    <w:charset w:val="00"/>
    <w:family w:val="roman"/>
    <w:pitch w:val="default"/>
    <w:sig w:usb0="80008023" w:usb1="00002042" w:usb2="00000000" w:usb3="00000000" w:csb0="00000001" w:csb1="00000000"/>
  </w:font>
  <w:font w:name="Antiqua">
    <w:altName w:val="Courier New"/>
    <w:panose1 w:val="00000000000000000000"/>
    <w:charset w:val="00"/>
    <w:family w:val="auto"/>
    <w:pitch w:val="default"/>
    <w:sig w:usb0="00000000" w:usb1="00000000" w:usb2="00000000" w:usb3="00000000" w:csb0="00000001" w:csb1="00000000"/>
  </w:font>
  <w:font w:name="Segoe UI">
    <w:altName w:val="Noto Looped Lao Bold"/>
    <w:panose1 w:val="020B0502040204020203"/>
    <w:charset w:val="CC"/>
    <w:family w:val="swiss"/>
    <w:pitch w:val="default"/>
    <w:sig w:usb0="00000000" w:usb1="00000000" w:usb2="00000009" w:usb3="00000000" w:csb0="000001FF" w:csb1="00000000"/>
  </w:font>
  <w:font w:name="Noto Looped Lao Bold">
    <w:panose1 w:val="020B0502040504020204"/>
    <w:charset w:val="00"/>
    <w:family w:val="auto"/>
    <w:pitch w:val="default"/>
    <w:sig w:usb0="02000000" w:usb1="00000000" w:usb2="00000000" w:usb3="00000000" w:csb0="00000001" w:csb1="00000000"/>
  </w:font>
  <w:font w:name="Symbol">
    <w:altName w:val="Webdings"/>
    <w:panose1 w:val="050501020107060205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2296929"/>
    </w:sdtPr>
    <w:sdtContent>
      <w:p>
        <w:pPr>
          <w:pStyle w:val="7"/>
          <w:jc w:val="center"/>
        </w:pPr>
        <w:r>
          <w:fldChar w:fldCharType="begin"/>
        </w:r>
        <w:r>
          <w:instrText xml:space="preserve">PAGE   \* MERGEFORMAT</w:instrText>
        </w:r>
        <w:r>
          <w:fldChar w:fldCharType="separate"/>
        </w:r>
        <w:r>
          <w:t>25</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A6A08"/>
    <w:multiLevelType w:val="multilevel"/>
    <w:tmpl w:val="064A6A0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8A910E6"/>
    <w:multiLevelType w:val="multilevel"/>
    <w:tmpl w:val="28A910E6"/>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85"/>
    <w:rsid w:val="00000D40"/>
    <w:rsid w:val="000023E7"/>
    <w:rsid w:val="00003F84"/>
    <w:rsid w:val="0000614F"/>
    <w:rsid w:val="00012022"/>
    <w:rsid w:val="0001251B"/>
    <w:rsid w:val="00012D4F"/>
    <w:rsid w:val="00015A86"/>
    <w:rsid w:val="00016310"/>
    <w:rsid w:val="00016A6B"/>
    <w:rsid w:val="000179A0"/>
    <w:rsid w:val="000211E9"/>
    <w:rsid w:val="000225CC"/>
    <w:rsid w:val="00023DE6"/>
    <w:rsid w:val="00023F5C"/>
    <w:rsid w:val="00024429"/>
    <w:rsid w:val="00024DDA"/>
    <w:rsid w:val="00025AA6"/>
    <w:rsid w:val="00025B81"/>
    <w:rsid w:val="00026819"/>
    <w:rsid w:val="00032257"/>
    <w:rsid w:val="00033114"/>
    <w:rsid w:val="00037187"/>
    <w:rsid w:val="00041A2F"/>
    <w:rsid w:val="00042FCB"/>
    <w:rsid w:val="00043F09"/>
    <w:rsid w:val="00053CE6"/>
    <w:rsid w:val="00054A44"/>
    <w:rsid w:val="00055B7C"/>
    <w:rsid w:val="00055CC3"/>
    <w:rsid w:val="00066346"/>
    <w:rsid w:val="000665B4"/>
    <w:rsid w:val="000666CD"/>
    <w:rsid w:val="000709F3"/>
    <w:rsid w:val="00071B7D"/>
    <w:rsid w:val="00071E1A"/>
    <w:rsid w:val="00071FAF"/>
    <w:rsid w:val="0007440E"/>
    <w:rsid w:val="00075875"/>
    <w:rsid w:val="00076EEE"/>
    <w:rsid w:val="00077A21"/>
    <w:rsid w:val="000819E8"/>
    <w:rsid w:val="00084D5A"/>
    <w:rsid w:val="0009078D"/>
    <w:rsid w:val="0009262E"/>
    <w:rsid w:val="00092F9E"/>
    <w:rsid w:val="0009466A"/>
    <w:rsid w:val="00094B98"/>
    <w:rsid w:val="00094C6F"/>
    <w:rsid w:val="000975BA"/>
    <w:rsid w:val="000A0A9C"/>
    <w:rsid w:val="000A1058"/>
    <w:rsid w:val="000A1BB0"/>
    <w:rsid w:val="000A4CAA"/>
    <w:rsid w:val="000A713D"/>
    <w:rsid w:val="000A7CE6"/>
    <w:rsid w:val="000B1710"/>
    <w:rsid w:val="000B1736"/>
    <w:rsid w:val="000B3731"/>
    <w:rsid w:val="000B736B"/>
    <w:rsid w:val="000B7634"/>
    <w:rsid w:val="000C031F"/>
    <w:rsid w:val="000C2A97"/>
    <w:rsid w:val="000C2DAA"/>
    <w:rsid w:val="000C484D"/>
    <w:rsid w:val="000C4D38"/>
    <w:rsid w:val="000C4DF9"/>
    <w:rsid w:val="000C5139"/>
    <w:rsid w:val="000C72C0"/>
    <w:rsid w:val="000C73C2"/>
    <w:rsid w:val="000C7722"/>
    <w:rsid w:val="000D0666"/>
    <w:rsid w:val="000D080E"/>
    <w:rsid w:val="000D1147"/>
    <w:rsid w:val="000D4B7E"/>
    <w:rsid w:val="000D5C7A"/>
    <w:rsid w:val="000E0B47"/>
    <w:rsid w:val="000E1350"/>
    <w:rsid w:val="000E1F99"/>
    <w:rsid w:val="000E21B7"/>
    <w:rsid w:val="000E22C1"/>
    <w:rsid w:val="000E3320"/>
    <w:rsid w:val="000E3658"/>
    <w:rsid w:val="000E4F17"/>
    <w:rsid w:val="000E5C99"/>
    <w:rsid w:val="000E65B0"/>
    <w:rsid w:val="000E73A4"/>
    <w:rsid w:val="000E7E6D"/>
    <w:rsid w:val="000F1BA3"/>
    <w:rsid w:val="000F2176"/>
    <w:rsid w:val="000F2651"/>
    <w:rsid w:val="000F4F66"/>
    <w:rsid w:val="001002EB"/>
    <w:rsid w:val="00100575"/>
    <w:rsid w:val="00100F2C"/>
    <w:rsid w:val="0010116C"/>
    <w:rsid w:val="00101B47"/>
    <w:rsid w:val="00102CA0"/>
    <w:rsid w:val="001030E0"/>
    <w:rsid w:val="0010388D"/>
    <w:rsid w:val="00105DFC"/>
    <w:rsid w:val="00106871"/>
    <w:rsid w:val="001073EC"/>
    <w:rsid w:val="001101D7"/>
    <w:rsid w:val="00110D8D"/>
    <w:rsid w:val="00113737"/>
    <w:rsid w:val="001169AA"/>
    <w:rsid w:val="001176A1"/>
    <w:rsid w:val="00120F23"/>
    <w:rsid w:val="001211BB"/>
    <w:rsid w:val="00121C33"/>
    <w:rsid w:val="00122C98"/>
    <w:rsid w:val="001248CB"/>
    <w:rsid w:val="00125CC5"/>
    <w:rsid w:val="00127341"/>
    <w:rsid w:val="00127441"/>
    <w:rsid w:val="00132C22"/>
    <w:rsid w:val="00135079"/>
    <w:rsid w:val="00137624"/>
    <w:rsid w:val="00137CBC"/>
    <w:rsid w:val="00140E09"/>
    <w:rsid w:val="00142C39"/>
    <w:rsid w:val="001440DC"/>
    <w:rsid w:val="001453BE"/>
    <w:rsid w:val="00145458"/>
    <w:rsid w:val="00145A06"/>
    <w:rsid w:val="001460AF"/>
    <w:rsid w:val="00147A8E"/>
    <w:rsid w:val="001524E4"/>
    <w:rsid w:val="00155198"/>
    <w:rsid w:val="001567C7"/>
    <w:rsid w:val="0016249C"/>
    <w:rsid w:val="00164FED"/>
    <w:rsid w:val="001665CC"/>
    <w:rsid w:val="00170108"/>
    <w:rsid w:val="001702BC"/>
    <w:rsid w:val="001716D0"/>
    <w:rsid w:val="00173D8A"/>
    <w:rsid w:val="0017611E"/>
    <w:rsid w:val="00176676"/>
    <w:rsid w:val="00180A36"/>
    <w:rsid w:val="00180D39"/>
    <w:rsid w:val="00181E21"/>
    <w:rsid w:val="00183DE4"/>
    <w:rsid w:val="00185191"/>
    <w:rsid w:val="00185321"/>
    <w:rsid w:val="0018546D"/>
    <w:rsid w:val="00185B85"/>
    <w:rsid w:val="001923C1"/>
    <w:rsid w:val="001937CB"/>
    <w:rsid w:val="0019390A"/>
    <w:rsid w:val="0019394D"/>
    <w:rsid w:val="00193D69"/>
    <w:rsid w:val="0019701C"/>
    <w:rsid w:val="001A04D7"/>
    <w:rsid w:val="001A08A3"/>
    <w:rsid w:val="001A197E"/>
    <w:rsid w:val="001A2403"/>
    <w:rsid w:val="001A3051"/>
    <w:rsid w:val="001A3827"/>
    <w:rsid w:val="001A4A8C"/>
    <w:rsid w:val="001A6313"/>
    <w:rsid w:val="001B0A8C"/>
    <w:rsid w:val="001B536C"/>
    <w:rsid w:val="001C1562"/>
    <w:rsid w:val="001C1B3C"/>
    <w:rsid w:val="001C1C43"/>
    <w:rsid w:val="001C5B3B"/>
    <w:rsid w:val="001C76A2"/>
    <w:rsid w:val="001D5647"/>
    <w:rsid w:val="001D64CD"/>
    <w:rsid w:val="001E0A2F"/>
    <w:rsid w:val="001E1B7D"/>
    <w:rsid w:val="001E1C6B"/>
    <w:rsid w:val="001E2325"/>
    <w:rsid w:val="001E3BAF"/>
    <w:rsid w:val="001E4387"/>
    <w:rsid w:val="001E5B7D"/>
    <w:rsid w:val="001E6BA4"/>
    <w:rsid w:val="001F29FF"/>
    <w:rsid w:val="001F4A93"/>
    <w:rsid w:val="001F57F4"/>
    <w:rsid w:val="001F692A"/>
    <w:rsid w:val="001F6E0D"/>
    <w:rsid w:val="00202CD2"/>
    <w:rsid w:val="00203BF1"/>
    <w:rsid w:val="00203F34"/>
    <w:rsid w:val="00205150"/>
    <w:rsid w:val="00205D14"/>
    <w:rsid w:val="0020646F"/>
    <w:rsid w:val="00206BBB"/>
    <w:rsid w:val="00206ED9"/>
    <w:rsid w:val="00210C6D"/>
    <w:rsid w:val="00210CED"/>
    <w:rsid w:val="00211DF5"/>
    <w:rsid w:val="002120E8"/>
    <w:rsid w:val="00212E97"/>
    <w:rsid w:val="00213FEE"/>
    <w:rsid w:val="00214413"/>
    <w:rsid w:val="002150C0"/>
    <w:rsid w:val="00220D59"/>
    <w:rsid w:val="0022238B"/>
    <w:rsid w:val="0022341B"/>
    <w:rsid w:val="00223CB5"/>
    <w:rsid w:val="00225D47"/>
    <w:rsid w:val="00226EE7"/>
    <w:rsid w:val="00227F3C"/>
    <w:rsid w:val="002302D8"/>
    <w:rsid w:val="00231F7F"/>
    <w:rsid w:val="002342CC"/>
    <w:rsid w:val="00236BDF"/>
    <w:rsid w:val="00242C14"/>
    <w:rsid w:val="00244A43"/>
    <w:rsid w:val="002476E0"/>
    <w:rsid w:val="002523F7"/>
    <w:rsid w:val="0025476D"/>
    <w:rsid w:val="00255126"/>
    <w:rsid w:val="002556F1"/>
    <w:rsid w:val="00261B89"/>
    <w:rsid w:val="00262180"/>
    <w:rsid w:val="0026358C"/>
    <w:rsid w:val="00263CB3"/>
    <w:rsid w:val="0026742C"/>
    <w:rsid w:val="00270B34"/>
    <w:rsid w:val="00273FA9"/>
    <w:rsid w:val="00275C18"/>
    <w:rsid w:val="0028089F"/>
    <w:rsid w:val="00280CDD"/>
    <w:rsid w:val="00282F54"/>
    <w:rsid w:val="00283572"/>
    <w:rsid w:val="002838BE"/>
    <w:rsid w:val="00283DB6"/>
    <w:rsid w:val="00283E4A"/>
    <w:rsid w:val="00284BC6"/>
    <w:rsid w:val="002850EE"/>
    <w:rsid w:val="0028582F"/>
    <w:rsid w:val="002860CC"/>
    <w:rsid w:val="00286CF5"/>
    <w:rsid w:val="0028728B"/>
    <w:rsid w:val="002911A4"/>
    <w:rsid w:val="00291D07"/>
    <w:rsid w:val="002952D4"/>
    <w:rsid w:val="00296310"/>
    <w:rsid w:val="00297107"/>
    <w:rsid w:val="002A0A53"/>
    <w:rsid w:val="002A0E35"/>
    <w:rsid w:val="002A2117"/>
    <w:rsid w:val="002A2601"/>
    <w:rsid w:val="002A3891"/>
    <w:rsid w:val="002A3A59"/>
    <w:rsid w:val="002A3E8C"/>
    <w:rsid w:val="002A4008"/>
    <w:rsid w:val="002A472D"/>
    <w:rsid w:val="002A4EB2"/>
    <w:rsid w:val="002A63D2"/>
    <w:rsid w:val="002A66A3"/>
    <w:rsid w:val="002B011E"/>
    <w:rsid w:val="002B2E3E"/>
    <w:rsid w:val="002B2FD8"/>
    <w:rsid w:val="002B562C"/>
    <w:rsid w:val="002B61C0"/>
    <w:rsid w:val="002B61F7"/>
    <w:rsid w:val="002C6B17"/>
    <w:rsid w:val="002C7DDD"/>
    <w:rsid w:val="002C7E8E"/>
    <w:rsid w:val="002D2E58"/>
    <w:rsid w:val="002D4FCF"/>
    <w:rsid w:val="002D56F1"/>
    <w:rsid w:val="002D7A1F"/>
    <w:rsid w:val="002E19B8"/>
    <w:rsid w:val="002E5D79"/>
    <w:rsid w:val="002E714E"/>
    <w:rsid w:val="002F001C"/>
    <w:rsid w:val="002F1FA4"/>
    <w:rsid w:val="002F3E64"/>
    <w:rsid w:val="002F7724"/>
    <w:rsid w:val="00300F38"/>
    <w:rsid w:val="00303909"/>
    <w:rsid w:val="00306E36"/>
    <w:rsid w:val="00310364"/>
    <w:rsid w:val="00311464"/>
    <w:rsid w:val="00311C5A"/>
    <w:rsid w:val="00312101"/>
    <w:rsid w:val="003125D2"/>
    <w:rsid w:val="00314BF8"/>
    <w:rsid w:val="00315B4B"/>
    <w:rsid w:val="00316AD0"/>
    <w:rsid w:val="00317017"/>
    <w:rsid w:val="00317874"/>
    <w:rsid w:val="00320117"/>
    <w:rsid w:val="003233FD"/>
    <w:rsid w:val="00324C6B"/>
    <w:rsid w:val="00325CB7"/>
    <w:rsid w:val="0032725D"/>
    <w:rsid w:val="00327DEA"/>
    <w:rsid w:val="003326ED"/>
    <w:rsid w:val="003330F2"/>
    <w:rsid w:val="00337E1D"/>
    <w:rsid w:val="00345EF8"/>
    <w:rsid w:val="00347CED"/>
    <w:rsid w:val="00347F1A"/>
    <w:rsid w:val="0035004C"/>
    <w:rsid w:val="00350CEF"/>
    <w:rsid w:val="003527D4"/>
    <w:rsid w:val="0035387E"/>
    <w:rsid w:val="003574DC"/>
    <w:rsid w:val="00360D86"/>
    <w:rsid w:val="00361505"/>
    <w:rsid w:val="0036166D"/>
    <w:rsid w:val="00361FEF"/>
    <w:rsid w:val="0036410A"/>
    <w:rsid w:val="0036532F"/>
    <w:rsid w:val="00365DF2"/>
    <w:rsid w:val="0036630E"/>
    <w:rsid w:val="0037526B"/>
    <w:rsid w:val="00375CC6"/>
    <w:rsid w:val="00383C5D"/>
    <w:rsid w:val="00386560"/>
    <w:rsid w:val="003911BB"/>
    <w:rsid w:val="0039449C"/>
    <w:rsid w:val="0039468D"/>
    <w:rsid w:val="00394B26"/>
    <w:rsid w:val="003952E8"/>
    <w:rsid w:val="003969DF"/>
    <w:rsid w:val="00397196"/>
    <w:rsid w:val="003A1931"/>
    <w:rsid w:val="003A249D"/>
    <w:rsid w:val="003A3638"/>
    <w:rsid w:val="003A4847"/>
    <w:rsid w:val="003A54D8"/>
    <w:rsid w:val="003B0118"/>
    <w:rsid w:val="003B1C2E"/>
    <w:rsid w:val="003B34F4"/>
    <w:rsid w:val="003B3B8A"/>
    <w:rsid w:val="003B6959"/>
    <w:rsid w:val="003B7FBB"/>
    <w:rsid w:val="003C29ED"/>
    <w:rsid w:val="003C33F5"/>
    <w:rsid w:val="003C3FC0"/>
    <w:rsid w:val="003C46BC"/>
    <w:rsid w:val="003C5B8E"/>
    <w:rsid w:val="003C7EB9"/>
    <w:rsid w:val="003D0EE0"/>
    <w:rsid w:val="003D168D"/>
    <w:rsid w:val="003D1811"/>
    <w:rsid w:val="003D1892"/>
    <w:rsid w:val="003D19D2"/>
    <w:rsid w:val="003D2C48"/>
    <w:rsid w:val="003D457F"/>
    <w:rsid w:val="003D5F91"/>
    <w:rsid w:val="003E06EF"/>
    <w:rsid w:val="003E117D"/>
    <w:rsid w:val="003E1286"/>
    <w:rsid w:val="003E2627"/>
    <w:rsid w:val="003E289F"/>
    <w:rsid w:val="003E4F91"/>
    <w:rsid w:val="003E6D5F"/>
    <w:rsid w:val="003F0B03"/>
    <w:rsid w:val="003F316F"/>
    <w:rsid w:val="003F34B8"/>
    <w:rsid w:val="003F3BC0"/>
    <w:rsid w:val="003F4236"/>
    <w:rsid w:val="003F513F"/>
    <w:rsid w:val="003F72EC"/>
    <w:rsid w:val="00401E24"/>
    <w:rsid w:val="00401EBA"/>
    <w:rsid w:val="00402F01"/>
    <w:rsid w:val="004039A5"/>
    <w:rsid w:val="00404A92"/>
    <w:rsid w:val="00411EF7"/>
    <w:rsid w:val="00412570"/>
    <w:rsid w:val="00412A12"/>
    <w:rsid w:val="0041367F"/>
    <w:rsid w:val="0041405D"/>
    <w:rsid w:val="004157DA"/>
    <w:rsid w:val="00420399"/>
    <w:rsid w:val="00420FB3"/>
    <w:rsid w:val="00422BD6"/>
    <w:rsid w:val="00425760"/>
    <w:rsid w:val="00427D78"/>
    <w:rsid w:val="00431653"/>
    <w:rsid w:val="0043222C"/>
    <w:rsid w:val="00436D8C"/>
    <w:rsid w:val="00437EE4"/>
    <w:rsid w:val="004406D1"/>
    <w:rsid w:val="00440B06"/>
    <w:rsid w:val="00443C0B"/>
    <w:rsid w:val="0044560F"/>
    <w:rsid w:val="00445C02"/>
    <w:rsid w:val="00446147"/>
    <w:rsid w:val="00446D26"/>
    <w:rsid w:val="00447182"/>
    <w:rsid w:val="004475BE"/>
    <w:rsid w:val="0045584B"/>
    <w:rsid w:val="00455D02"/>
    <w:rsid w:val="00465EF6"/>
    <w:rsid w:val="00466BA3"/>
    <w:rsid w:val="004672F7"/>
    <w:rsid w:val="0047016E"/>
    <w:rsid w:val="00470277"/>
    <w:rsid w:val="0047045F"/>
    <w:rsid w:val="0047245A"/>
    <w:rsid w:val="004733CE"/>
    <w:rsid w:val="004735E1"/>
    <w:rsid w:val="004746D4"/>
    <w:rsid w:val="0047568B"/>
    <w:rsid w:val="00477D92"/>
    <w:rsid w:val="00480A7C"/>
    <w:rsid w:val="0048117F"/>
    <w:rsid w:val="0048411B"/>
    <w:rsid w:val="0048620A"/>
    <w:rsid w:val="00487181"/>
    <w:rsid w:val="004911EC"/>
    <w:rsid w:val="00491A15"/>
    <w:rsid w:val="00493115"/>
    <w:rsid w:val="00495BAD"/>
    <w:rsid w:val="004964B6"/>
    <w:rsid w:val="004A0D6E"/>
    <w:rsid w:val="004A652D"/>
    <w:rsid w:val="004B5DC8"/>
    <w:rsid w:val="004B6986"/>
    <w:rsid w:val="004B6BDA"/>
    <w:rsid w:val="004C1CCA"/>
    <w:rsid w:val="004C30AC"/>
    <w:rsid w:val="004C5EA5"/>
    <w:rsid w:val="004C5EF7"/>
    <w:rsid w:val="004C68C4"/>
    <w:rsid w:val="004C78E2"/>
    <w:rsid w:val="004C7942"/>
    <w:rsid w:val="004D1A42"/>
    <w:rsid w:val="004D397D"/>
    <w:rsid w:val="004D4856"/>
    <w:rsid w:val="004D4B06"/>
    <w:rsid w:val="004D51FF"/>
    <w:rsid w:val="004D6C89"/>
    <w:rsid w:val="004E0664"/>
    <w:rsid w:val="004E3BF8"/>
    <w:rsid w:val="004E4965"/>
    <w:rsid w:val="004F0A76"/>
    <w:rsid w:val="004F14B6"/>
    <w:rsid w:val="004F2B4F"/>
    <w:rsid w:val="004F3989"/>
    <w:rsid w:val="004F3F16"/>
    <w:rsid w:val="004F4782"/>
    <w:rsid w:val="004F55C4"/>
    <w:rsid w:val="005006B7"/>
    <w:rsid w:val="00502C7F"/>
    <w:rsid w:val="00502D13"/>
    <w:rsid w:val="00505092"/>
    <w:rsid w:val="00506715"/>
    <w:rsid w:val="00507172"/>
    <w:rsid w:val="00507714"/>
    <w:rsid w:val="00507FCF"/>
    <w:rsid w:val="0051018E"/>
    <w:rsid w:val="005103AE"/>
    <w:rsid w:val="00511555"/>
    <w:rsid w:val="00513BAE"/>
    <w:rsid w:val="00514BAC"/>
    <w:rsid w:val="00521D97"/>
    <w:rsid w:val="00524D65"/>
    <w:rsid w:val="005253B5"/>
    <w:rsid w:val="005256E4"/>
    <w:rsid w:val="00525A33"/>
    <w:rsid w:val="0053087D"/>
    <w:rsid w:val="00530E67"/>
    <w:rsid w:val="005310CE"/>
    <w:rsid w:val="005328F9"/>
    <w:rsid w:val="0053640C"/>
    <w:rsid w:val="0053673B"/>
    <w:rsid w:val="005430CA"/>
    <w:rsid w:val="0054717E"/>
    <w:rsid w:val="005529E0"/>
    <w:rsid w:val="00555D3E"/>
    <w:rsid w:val="00562C95"/>
    <w:rsid w:val="00563B2C"/>
    <w:rsid w:val="00566647"/>
    <w:rsid w:val="005670A7"/>
    <w:rsid w:val="005701DD"/>
    <w:rsid w:val="00570280"/>
    <w:rsid w:val="00571CD0"/>
    <w:rsid w:val="00571ED1"/>
    <w:rsid w:val="0057223F"/>
    <w:rsid w:val="00572C5E"/>
    <w:rsid w:val="00573419"/>
    <w:rsid w:val="00574A59"/>
    <w:rsid w:val="00577638"/>
    <w:rsid w:val="005779A3"/>
    <w:rsid w:val="00580F5F"/>
    <w:rsid w:val="0058212B"/>
    <w:rsid w:val="005841B3"/>
    <w:rsid w:val="0058427D"/>
    <w:rsid w:val="0058647E"/>
    <w:rsid w:val="00587965"/>
    <w:rsid w:val="00587C45"/>
    <w:rsid w:val="0059029D"/>
    <w:rsid w:val="00592639"/>
    <w:rsid w:val="005938CA"/>
    <w:rsid w:val="00595FBE"/>
    <w:rsid w:val="0059782F"/>
    <w:rsid w:val="005A02A5"/>
    <w:rsid w:val="005A0323"/>
    <w:rsid w:val="005A2B8E"/>
    <w:rsid w:val="005A3661"/>
    <w:rsid w:val="005A3682"/>
    <w:rsid w:val="005B113F"/>
    <w:rsid w:val="005B2A64"/>
    <w:rsid w:val="005B453F"/>
    <w:rsid w:val="005C077D"/>
    <w:rsid w:val="005C2BFA"/>
    <w:rsid w:val="005C4F5C"/>
    <w:rsid w:val="005C612E"/>
    <w:rsid w:val="005C61AE"/>
    <w:rsid w:val="005C6C58"/>
    <w:rsid w:val="005D0C8A"/>
    <w:rsid w:val="005D1CA1"/>
    <w:rsid w:val="005D1D53"/>
    <w:rsid w:val="005D2080"/>
    <w:rsid w:val="005D391B"/>
    <w:rsid w:val="005D3F13"/>
    <w:rsid w:val="005D479B"/>
    <w:rsid w:val="005D5519"/>
    <w:rsid w:val="005D6D8A"/>
    <w:rsid w:val="005E0BB4"/>
    <w:rsid w:val="005E1DC1"/>
    <w:rsid w:val="005E42C6"/>
    <w:rsid w:val="005E479D"/>
    <w:rsid w:val="005E4A4A"/>
    <w:rsid w:val="005E5BB0"/>
    <w:rsid w:val="005F03CD"/>
    <w:rsid w:val="005F1104"/>
    <w:rsid w:val="005F1664"/>
    <w:rsid w:val="005F4E50"/>
    <w:rsid w:val="005F5E79"/>
    <w:rsid w:val="005F5F1B"/>
    <w:rsid w:val="005F6078"/>
    <w:rsid w:val="00602575"/>
    <w:rsid w:val="00603E73"/>
    <w:rsid w:val="00605902"/>
    <w:rsid w:val="006074DE"/>
    <w:rsid w:val="00607D37"/>
    <w:rsid w:val="006104A2"/>
    <w:rsid w:val="0061107B"/>
    <w:rsid w:val="00616BBF"/>
    <w:rsid w:val="00620903"/>
    <w:rsid w:val="0062118A"/>
    <w:rsid w:val="006217B0"/>
    <w:rsid w:val="00623201"/>
    <w:rsid w:val="0062344D"/>
    <w:rsid w:val="00630F63"/>
    <w:rsid w:val="00634CC2"/>
    <w:rsid w:val="00634E08"/>
    <w:rsid w:val="006359CD"/>
    <w:rsid w:val="00637B0E"/>
    <w:rsid w:val="00640BE4"/>
    <w:rsid w:val="00641936"/>
    <w:rsid w:val="00641E04"/>
    <w:rsid w:val="00642230"/>
    <w:rsid w:val="00644847"/>
    <w:rsid w:val="00647016"/>
    <w:rsid w:val="00647372"/>
    <w:rsid w:val="00650C02"/>
    <w:rsid w:val="006510AB"/>
    <w:rsid w:val="00654A78"/>
    <w:rsid w:val="00654B87"/>
    <w:rsid w:val="00655D4F"/>
    <w:rsid w:val="00657A54"/>
    <w:rsid w:val="00660605"/>
    <w:rsid w:val="00662404"/>
    <w:rsid w:val="00663C87"/>
    <w:rsid w:val="00663EEE"/>
    <w:rsid w:val="0066440B"/>
    <w:rsid w:val="00664EF5"/>
    <w:rsid w:val="006656D9"/>
    <w:rsid w:val="00666E20"/>
    <w:rsid w:val="00666E43"/>
    <w:rsid w:val="00666E9D"/>
    <w:rsid w:val="00671DC0"/>
    <w:rsid w:val="00674FF5"/>
    <w:rsid w:val="0067566E"/>
    <w:rsid w:val="00675CD4"/>
    <w:rsid w:val="0067777B"/>
    <w:rsid w:val="00682777"/>
    <w:rsid w:val="006844A7"/>
    <w:rsid w:val="006864D7"/>
    <w:rsid w:val="00686A1E"/>
    <w:rsid w:val="0069142A"/>
    <w:rsid w:val="0069144B"/>
    <w:rsid w:val="00692549"/>
    <w:rsid w:val="00692734"/>
    <w:rsid w:val="00692C73"/>
    <w:rsid w:val="00694260"/>
    <w:rsid w:val="0069583E"/>
    <w:rsid w:val="006A0721"/>
    <w:rsid w:val="006A1070"/>
    <w:rsid w:val="006A2EC5"/>
    <w:rsid w:val="006A5ACC"/>
    <w:rsid w:val="006A60AE"/>
    <w:rsid w:val="006A6A00"/>
    <w:rsid w:val="006B313B"/>
    <w:rsid w:val="006B49ED"/>
    <w:rsid w:val="006B56E8"/>
    <w:rsid w:val="006B76EB"/>
    <w:rsid w:val="006C0561"/>
    <w:rsid w:val="006C30DB"/>
    <w:rsid w:val="006C39D5"/>
    <w:rsid w:val="006C3AEA"/>
    <w:rsid w:val="006D19C8"/>
    <w:rsid w:val="006D264D"/>
    <w:rsid w:val="006D35AE"/>
    <w:rsid w:val="006D63E5"/>
    <w:rsid w:val="006E34A6"/>
    <w:rsid w:val="006E5D54"/>
    <w:rsid w:val="006E7713"/>
    <w:rsid w:val="006F3C3A"/>
    <w:rsid w:val="006F48CD"/>
    <w:rsid w:val="006F5B01"/>
    <w:rsid w:val="00700EFE"/>
    <w:rsid w:val="00702C76"/>
    <w:rsid w:val="00702ED8"/>
    <w:rsid w:val="007034A2"/>
    <w:rsid w:val="007046F2"/>
    <w:rsid w:val="007048C4"/>
    <w:rsid w:val="00705803"/>
    <w:rsid w:val="007076C8"/>
    <w:rsid w:val="00710365"/>
    <w:rsid w:val="00710525"/>
    <w:rsid w:val="0071052E"/>
    <w:rsid w:val="00714D4A"/>
    <w:rsid w:val="00715EB5"/>
    <w:rsid w:val="007174FB"/>
    <w:rsid w:val="00717C8C"/>
    <w:rsid w:val="00717FB8"/>
    <w:rsid w:val="007252AA"/>
    <w:rsid w:val="00726FAA"/>
    <w:rsid w:val="007273F1"/>
    <w:rsid w:val="0072786F"/>
    <w:rsid w:val="00730BA5"/>
    <w:rsid w:val="0073424E"/>
    <w:rsid w:val="00734EE8"/>
    <w:rsid w:val="0073578A"/>
    <w:rsid w:val="00736215"/>
    <w:rsid w:val="00736701"/>
    <w:rsid w:val="007411A2"/>
    <w:rsid w:val="00741B71"/>
    <w:rsid w:val="00742A97"/>
    <w:rsid w:val="007439B4"/>
    <w:rsid w:val="007445BF"/>
    <w:rsid w:val="007517CD"/>
    <w:rsid w:val="00752321"/>
    <w:rsid w:val="00752478"/>
    <w:rsid w:val="00753C63"/>
    <w:rsid w:val="007554E3"/>
    <w:rsid w:val="00755C9E"/>
    <w:rsid w:val="00760C09"/>
    <w:rsid w:val="00761716"/>
    <w:rsid w:val="00762290"/>
    <w:rsid w:val="0076271F"/>
    <w:rsid w:val="00764DBC"/>
    <w:rsid w:val="007661EE"/>
    <w:rsid w:val="007664AE"/>
    <w:rsid w:val="00766F97"/>
    <w:rsid w:val="0076756D"/>
    <w:rsid w:val="00773561"/>
    <w:rsid w:val="00777151"/>
    <w:rsid w:val="00781A80"/>
    <w:rsid w:val="00781C0A"/>
    <w:rsid w:val="00782727"/>
    <w:rsid w:val="007853F4"/>
    <w:rsid w:val="007865E1"/>
    <w:rsid w:val="0078797E"/>
    <w:rsid w:val="00793677"/>
    <w:rsid w:val="0079413C"/>
    <w:rsid w:val="00794D6A"/>
    <w:rsid w:val="00796400"/>
    <w:rsid w:val="007A0286"/>
    <w:rsid w:val="007A2AE9"/>
    <w:rsid w:val="007A3C08"/>
    <w:rsid w:val="007A3CA1"/>
    <w:rsid w:val="007A430C"/>
    <w:rsid w:val="007A4577"/>
    <w:rsid w:val="007A4663"/>
    <w:rsid w:val="007A4860"/>
    <w:rsid w:val="007A5139"/>
    <w:rsid w:val="007A7558"/>
    <w:rsid w:val="007A761E"/>
    <w:rsid w:val="007B2BF2"/>
    <w:rsid w:val="007B55C8"/>
    <w:rsid w:val="007B62B1"/>
    <w:rsid w:val="007B70F9"/>
    <w:rsid w:val="007C046F"/>
    <w:rsid w:val="007C08DC"/>
    <w:rsid w:val="007C279A"/>
    <w:rsid w:val="007D0CB0"/>
    <w:rsid w:val="007D122F"/>
    <w:rsid w:val="007D24FB"/>
    <w:rsid w:val="007D498F"/>
    <w:rsid w:val="007D52BC"/>
    <w:rsid w:val="007D5833"/>
    <w:rsid w:val="007E1BB1"/>
    <w:rsid w:val="007E1EFA"/>
    <w:rsid w:val="007E4576"/>
    <w:rsid w:val="007E7057"/>
    <w:rsid w:val="007E7FF0"/>
    <w:rsid w:val="007F1624"/>
    <w:rsid w:val="007F2885"/>
    <w:rsid w:val="007F3305"/>
    <w:rsid w:val="007F3B04"/>
    <w:rsid w:val="007F6A1A"/>
    <w:rsid w:val="007F7399"/>
    <w:rsid w:val="00800F23"/>
    <w:rsid w:val="008032E8"/>
    <w:rsid w:val="00805029"/>
    <w:rsid w:val="00806A69"/>
    <w:rsid w:val="00807486"/>
    <w:rsid w:val="00810FF3"/>
    <w:rsid w:val="00813548"/>
    <w:rsid w:val="0081759C"/>
    <w:rsid w:val="0082054F"/>
    <w:rsid w:val="008209DD"/>
    <w:rsid w:val="008240C3"/>
    <w:rsid w:val="00824A36"/>
    <w:rsid w:val="00825131"/>
    <w:rsid w:val="00825470"/>
    <w:rsid w:val="00826214"/>
    <w:rsid w:val="00827A98"/>
    <w:rsid w:val="0083097D"/>
    <w:rsid w:val="00831973"/>
    <w:rsid w:val="00831D95"/>
    <w:rsid w:val="00831F5A"/>
    <w:rsid w:val="008325AE"/>
    <w:rsid w:val="0083287F"/>
    <w:rsid w:val="00832C8B"/>
    <w:rsid w:val="00833021"/>
    <w:rsid w:val="00834E5E"/>
    <w:rsid w:val="00835511"/>
    <w:rsid w:val="008364C9"/>
    <w:rsid w:val="00841A4B"/>
    <w:rsid w:val="008444FF"/>
    <w:rsid w:val="00845C6A"/>
    <w:rsid w:val="00846830"/>
    <w:rsid w:val="00846A18"/>
    <w:rsid w:val="0084756C"/>
    <w:rsid w:val="00853889"/>
    <w:rsid w:val="00853AEB"/>
    <w:rsid w:val="00855394"/>
    <w:rsid w:val="008554F4"/>
    <w:rsid w:val="00863E2B"/>
    <w:rsid w:val="008643A7"/>
    <w:rsid w:val="008672E3"/>
    <w:rsid w:val="008675ED"/>
    <w:rsid w:val="0087135B"/>
    <w:rsid w:val="00872E18"/>
    <w:rsid w:val="00875889"/>
    <w:rsid w:val="00875AC6"/>
    <w:rsid w:val="008773E0"/>
    <w:rsid w:val="008804FE"/>
    <w:rsid w:val="0088210B"/>
    <w:rsid w:val="00885F3B"/>
    <w:rsid w:val="00886967"/>
    <w:rsid w:val="00893501"/>
    <w:rsid w:val="008935A3"/>
    <w:rsid w:val="00893DBA"/>
    <w:rsid w:val="00896842"/>
    <w:rsid w:val="008A00FA"/>
    <w:rsid w:val="008A01E8"/>
    <w:rsid w:val="008A045C"/>
    <w:rsid w:val="008A1E4E"/>
    <w:rsid w:val="008A276E"/>
    <w:rsid w:val="008A4719"/>
    <w:rsid w:val="008A62B8"/>
    <w:rsid w:val="008A7238"/>
    <w:rsid w:val="008A77A6"/>
    <w:rsid w:val="008B282C"/>
    <w:rsid w:val="008B28A8"/>
    <w:rsid w:val="008B29D5"/>
    <w:rsid w:val="008B4FF4"/>
    <w:rsid w:val="008C2408"/>
    <w:rsid w:val="008C2D04"/>
    <w:rsid w:val="008C30C0"/>
    <w:rsid w:val="008C3501"/>
    <w:rsid w:val="008C3B09"/>
    <w:rsid w:val="008C4176"/>
    <w:rsid w:val="008C470D"/>
    <w:rsid w:val="008C6082"/>
    <w:rsid w:val="008D100A"/>
    <w:rsid w:val="008D1221"/>
    <w:rsid w:val="008D18C2"/>
    <w:rsid w:val="008D194B"/>
    <w:rsid w:val="008D378F"/>
    <w:rsid w:val="008D4FC2"/>
    <w:rsid w:val="008D5739"/>
    <w:rsid w:val="008D7538"/>
    <w:rsid w:val="008E14C1"/>
    <w:rsid w:val="008E1FBC"/>
    <w:rsid w:val="008E2422"/>
    <w:rsid w:val="008E2820"/>
    <w:rsid w:val="008E2880"/>
    <w:rsid w:val="008E427F"/>
    <w:rsid w:val="008E4C18"/>
    <w:rsid w:val="008E67F4"/>
    <w:rsid w:val="008F21A5"/>
    <w:rsid w:val="008F429A"/>
    <w:rsid w:val="008F42FB"/>
    <w:rsid w:val="008F5A05"/>
    <w:rsid w:val="008F625E"/>
    <w:rsid w:val="008F7DD9"/>
    <w:rsid w:val="009006F1"/>
    <w:rsid w:val="009006F9"/>
    <w:rsid w:val="00902ECF"/>
    <w:rsid w:val="0090598B"/>
    <w:rsid w:val="00910D88"/>
    <w:rsid w:val="009121B0"/>
    <w:rsid w:val="00912C79"/>
    <w:rsid w:val="00912D00"/>
    <w:rsid w:val="00913916"/>
    <w:rsid w:val="009150E9"/>
    <w:rsid w:val="00915F96"/>
    <w:rsid w:val="00917342"/>
    <w:rsid w:val="00917A82"/>
    <w:rsid w:val="00917E21"/>
    <w:rsid w:val="00921003"/>
    <w:rsid w:val="00921116"/>
    <w:rsid w:val="0092164A"/>
    <w:rsid w:val="0092198B"/>
    <w:rsid w:val="00923F7F"/>
    <w:rsid w:val="009260C5"/>
    <w:rsid w:val="009275AC"/>
    <w:rsid w:val="009278F0"/>
    <w:rsid w:val="00934AF9"/>
    <w:rsid w:val="009441C0"/>
    <w:rsid w:val="009446A3"/>
    <w:rsid w:val="009465FD"/>
    <w:rsid w:val="0095042C"/>
    <w:rsid w:val="0095060D"/>
    <w:rsid w:val="00950E83"/>
    <w:rsid w:val="00950F52"/>
    <w:rsid w:val="00951B2F"/>
    <w:rsid w:val="00951BB7"/>
    <w:rsid w:val="00954079"/>
    <w:rsid w:val="009561D6"/>
    <w:rsid w:val="00962F33"/>
    <w:rsid w:val="00964834"/>
    <w:rsid w:val="009651EE"/>
    <w:rsid w:val="00966F7E"/>
    <w:rsid w:val="0097247D"/>
    <w:rsid w:val="00972E5F"/>
    <w:rsid w:val="00972E87"/>
    <w:rsid w:val="00977CA1"/>
    <w:rsid w:val="009814CB"/>
    <w:rsid w:val="00981C72"/>
    <w:rsid w:val="00982216"/>
    <w:rsid w:val="00983508"/>
    <w:rsid w:val="009837F5"/>
    <w:rsid w:val="00984A10"/>
    <w:rsid w:val="0099328B"/>
    <w:rsid w:val="00994F6B"/>
    <w:rsid w:val="00996159"/>
    <w:rsid w:val="009966C7"/>
    <w:rsid w:val="00997821"/>
    <w:rsid w:val="00997A5E"/>
    <w:rsid w:val="009A0162"/>
    <w:rsid w:val="009A2435"/>
    <w:rsid w:val="009A28F0"/>
    <w:rsid w:val="009A3D71"/>
    <w:rsid w:val="009A63A8"/>
    <w:rsid w:val="009B429E"/>
    <w:rsid w:val="009B4551"/>
    <w:rsid w:val="009B5654"/>
    <w:rsid w:val="009B63A9"/>
    <w:rsid w:val="009B68E7"/>
    <w:rsid w:val="009B7349"/>
    <w:rsid w:val="009B7407"/>
    <w:rsid w:val="009C0BE1"/>
    <w:rsid w:val="009C29AB"/>
    <w:rsid w:val="009C2A16"/>
    <w:rsid w:val="009C3485"/>
    <w:rsid w:val="009D0A45"/>
    <w:rsid w:val="009D21E3"/>
    <w:rsid w:val="009D3E5F"/>
    <w:rsid w:val="009D5F6D"/>
    <w:rsid w:val="009D673E"/>
    <w:rsid w:val="009D6DA3"/>
    <w:rsid w:val="009E0B12"/>
    <w:rsid w:val="009E307C"/>
    <w:rsid w:val="009E4467"/>
    <w:rsid w:val="009E5DBF"/>
    <w:rsid w:val="009E7730"/>
    <w:rsid w:val="009F0A06"/>
    <w:rsid w:val="009F1AD7"/>
    <w:rsid w:val="009F305D"/>
    <w:rsid w:val="009F3E16"/>
    <w:rsid w:val="009F6DD6"/>
    <w:rsid w:val="009F6EAD"/>
    <w:rsid w:val="00A002EA"/>
    <w:rsid w:val="00A004BC"/>
    <w:rsid w:val="00A05465"/>
    <w:rsid w:val="00A05B64"/>
    <w:rsid w:val="00A118DD"/>
    <w:rsid w:val="00A128CF"/>
    <w:rsid w:val="00A12DB8"/>
    <w:rsid w:val="00A13DA5"/>
    <w:rsid w:val="00A1564B"/>
    <w:rsid w:val="00A169E6"/>
    <w:rsid w:val="00A205AA"/>
    <w:rsid w:val="00A20962"/>
    <w:rsid w:val="00A21B6B"/>
    <w:rsid w:val="00A2363B"/>
    <w:rsid w:val="00A23DCD"/>
    <w:rsid w:val="00A246F7"/>
    <w:rsid w:val="00A251A9"/>
    <w:rsid w:val="00A260AC"/>
    <w:rsid w:val="00A3105B"/>
    <w:rsid w:val="00A329C8"/>
    <w:rsid w:val="00A352EB"/>
    <w:rsid w:val="00A37085"/>
    <w:rsid w:val="00A44218"/>
    <w:rsid w:val="00A45688"/>
    <w:rsid w:val="00A45A73"/>
    <w:rsid w:val="00A45B30"/>
    <w:rsid w:val="00A47CAE"/>
    <w:rsid w:val="00A522D5"/>
    <w:rsid w:val="00A54193"/>
    <w:rsid w:val="00A54BA8"/>
    <w:rsid w:val="00A55919"/>
    <w:rsid w:val="00A6170F"/>
    <w:rsid w:val="00A622F9"/>
    <w:rsid w:val="00A63400"/>
    <w:rsid w:val="00A63496"/>
    <w:rsid w:val="00A643BD"/>
    <w:rsid w:val="00A7070E"/>
    <w:rsid w:val="00A71657"/>
    <w:rsid w:val="00A7234F"/>
    <w:rsid w:val="00A730FF"/>
    <w:rsid w:val="00A736CD"/>
    <w:rsid w:val="00A73DF4"/>
    <w:rsid w:val="00A752CE"/>
    <w:rsid w:val="00A77130"/>
    <w:rsid w:val="00A7797A"/>
    <w:rsid w:val="00A77F71"/>
    <w:rsid w:val="00A82F30"/>
    <w:rsid w:val="00A83E84"/>
    <w:rsid w:val="00A849D3"/>
    <w:rsid w:val="00A871F1"/>
    <w:rsid w:val="00A8745A"/>
    <w:rsid w:val="00A93CCD"/>
    <w:rsid w:val="00A9599D"/>
    <w:rsid w:val="00A979CC"/>
    <w:rsid w:val="00A97DDD"/>
    <w:rsid w:val="00AA0B80"/>
    <w:rsid w:val="00AA132A"/>
    <w:rsid w:val="00AA2BBE"/>
    <w:rsid w:val="00AA3C8C"/>
    <w:rsid w:val="00AA51CF"/>
    <w:rsid w:val="00AA5646"/>
    <w:rsid w:val="00AA79DF"/>
    <w:rsid w:val="00AB0095"/>
    <w:rsid w:val="00AB2163"/>
    <w:rsid w:val="00AB2633"/>
    <w:rsid w:val="00AB266D"/>
    <w:rsid w:val="00AB31B8"/>
    <w:rsid w:val="00AB5627"/>
    <w:rsid w:val="00AB5F71"/>
    <w:rsid w:val="00AC1A1C"/>
    <w:rsid w:val="00AC2208"/>
    <w:rsid w:val="00AD162B"/>
    <w:rsid w:val="00AD259E"/>
    <w:rsid w:val="00AD34CD"/>
    <w:rsid w:val="00AD3726"/>
    <w:rsid w:val="00AD6257"/>
    <w:rsid w:val="00AE0EF8"/>
    <w:rsid w:val="00AE6BDF"/>
    <w:rsid w:val="00AF04DA"/>
    <w:rsid w:val="00AF2E86"/>
    <w:rsid w:val="00AF4E73"/>
    <w:rsid w:val="00AF5699"/>
    <w:rsid w:val="00AF6410"/>
    <w:rsid w:val="00B02D47"/>
    <w:rsid w:val="00B02FC5"/>
    <w:rsid w:val="00B0447A"/>
    <w:rsid w:val="00B07FAD"/>
    <w:rsid w:val="00B103A1"/>
    <w:rsid w:val="00B1069B"/>
    <w:rsid w:val="00B11072"/>
    <w:rsid w:val="00B12277"/>
    <w:rsid w:val="00B13D70"/>
    <w:rsid w:val="00B1532A"/>
    <w:rsid w:val="00B15599"/>
    <w:rsid w:val="00B15D50"/>
    <w:rsid w:val="00B1627B"/>
    <w:rsid w:val="00B16C19"/>
    <w:rsid w:val="00B175F9"/>
    <w:rsid w:val="00B17844"/>
    <w:rsid w:val="00B17944"/>
    <w:rsid w:val="00B17E1A"/>
    <w:rsid w:val="00B20717"/>
    <w:rsid w:val="00B22A50"/>
    <w:rsid w:val="00B2314C"/>
    <w:rsid w:val="00B233A3"/>
    <w:rsid w:val="00B25E7B"/>
    <w:rsid w:val="00B26B4D"/>
    <w:rsid w:val="00B26C85"/>
    <w:rsid w:val="00B26F78"/>
    <w:rsid w:val="00B305E0"/>
    <w:rsid w:val="00B30E9F"/>
    <w:rsid w:val="00B320E6"/>
    <w:rsid w:val="00B34057"/>
    <w:rsid w:val="00B34BDB"/>
    <w:rsid w:val="00B3509F"/>
    <w:rsid w:val="00B36D60"/>
    <w:rsid w:val="00B41FD3"/>
    <w:rsid w:val="00B4650E"/>
    <w:rsid w:val="00B503C1"/>
    <w:rsid w:val="00B509D6"/>
    <w:rsid w:val="00B51266"/>
    <w:rsid w:val="00B56037"/>
    <w:rsid w:val="00B610BE"/>
    <w:rsid w:val="00B6264D"/>
    <w:rsid w:val="00B6270C"/>
    <w:rsid w:val="00B645D8"/>
    <w:rsid w:val="00B653F3"/>
    <w:rsid w:val="00B65918"/>
    <w:rsid w:val="00B66E33"/>
    <w:rsid w:val="00B67F74"/>
    <w:rsid w:val="00B717CD"/>
    <w:rsid w:val="00B71C79"/>
    <w:rsid w:val="00B71F2B"/>
    <w:rsid w:val="00B722BF"/>
    <w:rsid w:val="00B7377F"/>
    <w:rsid w:val="00B73DD8"/>
    <w:rsid w:val="00B74D69"/>
    <w:rsid w:val="00B75D9C"/>
    <w:rsid w:val="00B7619E"/>
    <w:rsid w:val="00B76887"/>
    <w:rsid w:val="00B76C89"/>
    <w:rsid w:val="00B77730"/>
    <w:rsid w:val="00B806C8"/>
    <w:rsid w:val="00B80F74"/>
    <w:rsid w:val="00B80FB6"/>
    <w:rsid w:val="00B81A50"/>
    <w:rsid w:val="00B82B56"/>
    <w:rsid w:val="00B85F7F"/>
    <w:rsid w:val="00B87301"/>
    <w:rsid w:val="00B90D77"/>
    <w:rsid w:val="00B90FBD"/>
    <w:rsid w:val="00B91C18"/>
    <w:rsid w:val="00B92E1D"/>
    <w:rsid w:val="00BA4209"/>
    <w:rsid w:val="00BA6BF1"/>
    <w:rsid w:val="00BA6E84"/>
    <w:rsid w:val="00BB0D05"/>
    <w:rsid w:val="00BB1DA8"/>
    <w:rsid w:val="00BB3DDB"/>
    <w:rsid w:val="00BB4698"/>
    <w:rsid w:val="00BB4BF1"/>
    <w:rsid w:val="00BB74C0"/>
    <w:rsid w:val="00BC002C"/>
    <w:rsid w:val="00BC04A6"/>
    <w:rsid w:val="00BC48FC"/>
    <w:rsid w:val="00BC5FAB"/>
    <w:rsid w:val="00BC64FA"/>
    <w:rsid w:val="00BC6895"/>
    <w:rsid w:val="00BD0B32"/>
    <w:rsid w:val="00BD14A2"/>
    <w:rsid w:val="00BD1E22"/>
    <w:rsid w:val="00BD24AE"/>
    <w:rsid w:val="00BD4767"/>
    <w:rsid w:val="00BD4C0D"/>
    <w:rsid w:val="00BD79D0"/>
    <w:rsid w:val="00BE05FE"/>
    <w:rsid w:val="00BE0FA0"/>
    <w:rsid w:val="00BE2D34"/>
    <w:rsid w:val="00BE364D"/>
    <w:rsid w:val="00BE3847"/>
    <w:rsid w:val="00BE487E"/>
    <w:rsid w:val="00BE4C0B"/>
    <w:rsid w:val="00BE4E3B"/>
    <w:rsid w:val="00BE5372"/>
    <w:rsid w:val="00BF11E9"/>
    <w:rsid w:val="00BF2F00"/>
    <w:rsid w:val="00BF2F2B"/>
    <w:rsid w:val="00BF4675"/>
    <w:rsid w:val="00BF4AE6"/>
    <w:rsid w:val="00BF4B5C"/>
    <w:rsid w:val="00BF6179"/>
    <w:rsid w:val="00BF61D1"/>
    <w:rsid w:val="00BF6BB0"/>
    <w:rsid w:val="00C01604"/>
    <w:rsid w:val="00C030D9"/>
    <w:rsid w:val="00C05C41"/>
    <w:rsid w:val="00C0628C"/>
    <w:rsid w:val="00C064B2"/>
    <w:rsid w:val="00C067FD"/>
    <w:rsid w:val="00C11BC4"/>
    <w:rsid w:val="00C12B8F"/>
    <w:rsid w:val="00C12FC0"/>
    <w:rsid w:val="00C1316B"/>
    <w:rsid w:val="00C15531"/>
    <w:rsid w:val="00C17125"/>
    <w:rsid w:val="00C17E4F"/>
    <w:rsid w:val="00C208CF"/>
    <w:rsid w:val="00C212B3"/>
    <w:rsid w:val="00C220FA"/>
    <w:rsid w:val="00C22177"/>
    <w:rsid w:val="00C226F4"/>
    <w:rsid w:val="00C24690"/>
    <w:rsid w:val="00C269CB"/>
    <w:rsid w:val="00C27363"/>
    <w:rsid w:val="00C303A7"/>
    <w:rsid w:val="00C310DA"/>
    <w:rsid w:val="00C3387A"/>
    <w:rsid w:val="00C33A6D"/>
    <w:rsid w:val="00C415BE"/>
    <w:rsid w:val="00C426F7"/>
    <w:rsid w:val="00C46164"/>
    <w:rsid w:val="00C50184"/>
    <w:rsid w:val="00C547EB"/>
    <w:rsid w:val="00C57CB5"/>
    <w:rsid w:val="00C61291"/>
    <w:rsid w:val="00C64AE1"/>
    <w:rsid w:val="00C65EAF"/>
    <w:rsid w:val="00C66DCB"/>
    <w:rsid w:val="00C72534"/>
    <w:rsid w:val="00C7266E"/>
    <w:rsid w:val="00C73B3B"/>
    <w:rsid w:val="00C76C39"/>
    <w:rsid w:val="00C76FDA"/>
    <w:rsid w:val="00C77D7F"/>
    <w:rsid w:val="00C80C60"/>
    <w:rsid w:val="00C80CCD"/>
    <w:rsid w:val="00C8168E"/>
    <w:rsid w:val="00C81928"/>
    <w:rsid w:val="00C81A30"/>
    <w:rsid w:val="00C84189"/>
    <w:rsid w:val="00C86E44"/>
    <w:rsid w:val="00C92EDC"/>
    <w:rsid w:val="00C9420C"/>
    <w:rsid w:val="00C949BA"/>
    <w:rsid w:val="00C95D3C"/>
    <w:rsid w:val="00C960B1"/>
    <w:rsid w:val="00C967CC"/>
    <w:rsid w:val="00C97AAF"/>
    <w:rsid w:val="00CA086B"/>
    <w:rsid w:val="00CA13CB"/>
    <w:rsid w:val="00CA2C04"/>
    <w:rsid w:val="00CA4FB0"/>
    <w:rsid w:val="00CA51E1"/>
    <w:rsid w:val="00CA6129"/>
    <w:rsid w:val="00CA7AF3"/>
    <w:rsid w:val="00CB10A6"/>
    <w:rsid w:val="00CC211E"/>
    <w:rsid w:val="00CC278E"/>
    <w:rsid w:val="00CC3384"/>
    <w:rsid w:val="00CC4177"/>
    <w:rsid w:val="00CC41E5"/>
    <w:rsid w:val="00CC5DCA"/>
    <w:rsid w:val="00CC607B"/>
    <w:rsid w:val="00CC79AD"/>
    <w:rsid w:val="00CD2457"/>
    <w:rsid w:val="00CD2BBB"/>
    <w:rsid w:val="00CD2DBB"/>
    <w:rsid w:val="00CD42A4"/>
    <w:rsid w:val="00CD4474"/>
    <w:rsid w:val="00CD4A21"/>
    <w:rsid w:val="00CD537E"/>
    <w:rsid w:val="00CD56F5"/>
    <w:rsid w:val="00CD6A1B"/>
    <w:rsid w:val="00CE023B"/>
    <w:rsid w:val="00CE2DA0"/>
    <w:rsid w:val="00CE46BF"/>
    <w:rsid w:val="00CE4AAE"/>
    <w:rsid w:val="00CE7EFD"/>
    <w:rsid w:val="00CF17E4"/>
    <w:rsid w:val="00CF30C9"/>
    <w:rsid w:val="00D00359"/>
    <w:rsid w:val="00D00EC3"/>
    <w:rsid w:val="00D01819"/>
    <w:rsid w:val="00D0283F"/>
    <w:rsid w:val="00D03FBB"/>
    <w:rsid w:val="00D07C9E"/>
    <w:rsid w:val="00D12975"/>
    <w:rsid w:val="00D16389"/>
    <w:rsid w:val="00D16CA4"/>
    <w:rsid w:val="00D22ACF"/>
    <w:rsid w:val="00D23112"/>
    <w:rsid w:val="00D25657"/>
    <w:rsid w:val="00D31DE5"/>
    <w:rsid w:val="00D32EFE"/>
    <w:rsid w:val="00D43031"/>
    <w:rsid w:val="00D4529B"/>
    <w:rsid w:val="00D53402"/>
    <w:rsid w:val="00D534FF"/>
    <w:rsid w:val="00D53DC6"/>
    <w:rsid w:val="00D5654F"/>
    <w:rsid w:val="00D575C0"/>
    <w:rsid w:val="00D60BBE"/>
    <w:rsid w:val="00D60BC7"/>
    <w:rsid w:val="00D61ED2"/>
    <w:rsid w:val="00D6259A"/>
    <w:rsid w:val="00D6292E"/>
    <w:rsid w:val="00D634AB"/>
    <w:rsid w:val="00D63E3E"/>
    <w:rsid w:val="00D65E31"/>
    <w:rsid w:val="00D667BA"/>
    <w:rsid w:val="00D73E39"/>
    <w:rsid w:val="00D769BA"/>
    <w:rsid w:val="00D80876"/>
    <w:rsid w:val="00D814C2"/>
    <w:rsid w:val="00D8224A"/>
    <w:rsid w:val="00D83C23"/>
    <w:rsid w:val="00D85F04"/>
    <w:rsid w:val="00D85F7E"/>
    <w:rsid w:val="00D86F26"/>
    <w:rsid w:val="00D902EA"/>
    <w:rsid w:val="00D91234"/>
    <w:rsid w:val="00D93224"/>
    <w:rsid w:val="00D93E95"/>
    <w:rsid w:val="00D96C65"/>
    <w:rsid w:val="00DA0D36"/>
    <w:rsid w:val="00DA2568"/>
    <w:rsid w:val="00DA2E93"/>
    <w:rsid w:val="00DA3223"/>
    <w:rsid w:val="00DA6001"/>
    <w:rsid w:val="00DA6688"/>
    <w:rsid w:val="00DA78BB"/>
    <w:rsid w:val="00DA7C91"/>
    <w:rsid w:val="00DB20C8"/>
    <w:rsid w:val="00DB31C9"/>
    <w:rsid w:val="00DB47D2"/>
    <w:rsid w:val="00DB4DD0"/>
    <w:rsid w:val="00DC10A7"/>
    <w:rsid w:val="00DC3834"/>
    <w:rsid w:val="00DC5391"/>
    <w:rsid w:val="00DC56CF"/>
    <w:rsid w:val="00DC5EAB"/>
    <w:rsid w:val="00DC71BA"/>
    <w:rsid w:val="00DD0B81"/>
    <w:rsid w:val="00DD0C34"/>
    <w:rsid w:val="00DD2C63"/>
    <w:rsid w:val="00DD321B"/>
    <w:rsid w:val="00DD4B81"/>
    <w:rsid w:val="00DD5644"/>
    <w:rsid w:val="00DD645E"/>
    <w:rsid w:val="00DE1DF3"/>
    <w:rsid w:val="00DE291C"/>
    <w:rsid w:val="00DE65D8"/>
    <w:rsid w:val="00DF07DE"/>
    <w:rsid w:val="00DF33CA"/>
    <w:rsid w:val="00DF666E"/>
    <w:rsid w:val="00E00216"/>
    <w:rsid w:val="00E004CC"/>
    <w:rsid w:val="00E01E9C"/>
    <w:rsid w:val="00E04261"/>
    <w:rsid w:val="00E04F46"/>
    <w:rsid w:val="00E06996"/>
    <w:rsid w:val="00E11B13"/>
    <w:rsid w:val="00E1248F"/>
    <w:rsid w:val="00E132EE"/>
    <w:rsid w:val="00E156B3"/>
    <w:rsid w:val="00E2111F"/>
    <w:rsid w:val="00E2149A"/>
    <w:rsid w:val="00E21F7F"/>
    <w:rsid w:val="00E22AD9"/>
    <w:rsid w:val="00E237B9"/>
    <w:rsid w:val="00E25475"/>
    <w:rsid w:val="00E2579E"/>
    <w:rsid w:val="00E2641A"/>
    <w:rsid w:val="00E26ABB"/>
    <w:rsid w:val="00E3549E"/>
    <w:rsid w:val="00E35C27"/>
    <w:rsid w:val="00E40AC0"/>
    <w:rsid w:val="00E4129F"/>
    <w:rsid w:val="00E4161C"/>
    <w:rsid w:val="00E422CF"/>
    <w:rsid w:val="00E427E4"/>
    <w:rsid w:val="00E43703"/>
    <w:rsid w:val="00E43F31"/>
    <w:rsid w:val="00E4496D"/>
    <w:rsid w:val="00E46D30"/>
    <w:rsid w:val="00E501AB"/>
    <w:rsid w:val="00E54851"/>
    <w:rsid w:val="00E60719"/>
    <w:rsid w:val="00E61184"/>
    <w:rsid w:val="00E613BA"/>
    <w:rsid w:val="00E63326"/>
    <w:rsid w:val="00E66279"/>
    <w:rsid w:val="00E67A5D"/>
    <w:rsid w:val="00E7008C"/>
    <w:rsid w:val="00E70ECC"/>
    <w:rsid w:val="00E741C8"/>
    <w:rsid w:val="00E74477"/>
    <w:rsid w:val="00E86536"/>
    <w:rsid w:val="00E86F30"/>
    <w:rsid w:val="00E94C2B"/>
    <w:rsid w:val="00E95957"/>
    <w:rsid w:val="00E96A39"/>
    <w:rsid w:val="00EA19E3"/>
    <w:rsid w:val="00EA573E"/>
    <w:rsid w:val="00EB0E75"/>
    <w:rsid w:val="00EB161E"/>
    <w:rsid w:val="00EB16D3"/>
    <w:rsid w:val="00EB21F1"/>
    <w:rsid w:val="00EB3D41"/>
    <w:rsid w:val="00EB5415"/>
    <w:rsid w:val="00EB7267"/>
    <w:rsid w:val="00EC02DD"/>
    <w:rsid w:val="00EC1D12"/>
    <w:rsid w:val="00EC444C"/>
    <w:rsid w:val="00EC48F6"/>
    <w:rsid w:val="00ED0086"/>
    <w:rsid w:val="00ED3A47"/>
    <w:rsid w:val="00EE1C6E"/>
    <w:rsid w:val="00EE1E98"/>
    <w:rsid w:val="00EE6893"/>
    <w:rsid w:val="00EE69D7"/>
    <w:rsid w:val="00EE6A79"/>
    <w:rsid w:val="00EE77C1"/>
    <w:rsid w:val="00EF25D3"/>
    <w:rsid w:val="00EF3E67"/>
    <w:rsid w:val="00EF4516"/>
    <w:rsid w:val="00EF5637"/>
    <w:rsid w:val="00EF6694"/>
    <w:rsid w:val="00F00ADF"/>
    <w:rsid w:val="00F01C08"/>
    <w:rsid w:val="00F02BC3"/>
    <w:rsid w:val="00F03304"/>
    <w:rsid w:val="00F068C7"/>
    <w:rsid w:val="00F07732"/>
    <w:rsid w:val="00F07E85"/>
    <w:rsid w:val="00F10969"/>
    <w:rsid w:val="00F11773"/>
    <w:rsid w:val="00F15556"/>
    <w:rsid w:val="00F16293"/>
    <w:rsid w:val="00F2609E"/>
    <w:rsid w:val="00F26F9C"/>
    <w:rsid w:val="00F2790C"/>
    <w:rsid w:val="00F301D9"/>
    <w:rsid w:val="00F31405"/>
    <w:rsid w:val="00F316B1"/>
    <w:rsid w:val="00F33798"/>
    <w:rsid w:val="00F33C07"/>
    <w:rsid w:val="00F33CAB"/>
    <w:rsid w:val="00F34F2B"/>
    <w:rsid w:val="00F35F46"/>
    <w:rsid w:val="00F35F92"/>
    <w:rsid w:val="00F36202"/>
    <w:rsid w:val="00F37CB0"/>
    <w:rsid w:val="00F42685"/>
    <w:rsid w:val="00F42EE9"/>
    <w:rsid w:val="00F503AD"/>
    <w:rsid w:val="00F52173"/>
    <w:rsid w:val="00F53891"/>
    <w:rsid w:val="00F539F5"/>
    <w:rsid w:val="00F53EC0"/>
    <w:rsid w:val="00F54A8D"/>
    <w:rsid w:val="00F56516"/>
    <w:rsid w:val="00F6097B"/>
    <w:rsid w:val="00F651C7"/>
    <w:rsid w:val="00F66F78"/>
    <w:rsid w:val="00F71AA1"/>
    <w:rsid w:val="00F728E0"/>
    <w:rsid w:val="00F735A3"/>
    <w:rsid w:val="00F73A30"/>
    <w:rsid w:val="00F769BE"/>
    <w:rsid w:val="00F76A1B"/>
    <w:rsid w:val="00F82E34"/>
    <w:rsid w:val="00F82E84"/>
    <w:rsid w:val="00F83C11"/>
    <w:rsid w:val="00F83D37"/>
    <w:rsid w:val="00F85645"/>
    <w:rsid w:val="00F863F6"/>
    <w:rsid w:val="00F86476"/>
    <w:rsid w:val="00F91CBE"/>
    <w:rsid w:val="00F94B72"/>
    <w:rsid w:val="00F96732"/>
    <w:rsid w:val="00F969D9"/>
    <w:rsid w:val="00FA0900"/>
    <w:rsid w:val="00FA0A1B"/>
    <w:rsid w:val="00FA59DA"/>
    <w:rsid w:val="00FB2CC6"/>
    <w:rsid w:val="00FB2DB5"/>
    <w:rsid w:val="00FB2F05"/>
    <w:rsid w:val="00FB2FFD"/>
    <w:rsid w:val="00FB6436"/>
    <w:rsid w:val="00FB6A2D"/>
    <w:rsid w:val="00FC27EC"/>
    <w:rsid w:val="00FC741E"/>
    <w:rsid w:val="00FC7650"/>
    <w:rsid w:val="00FD0301"/>
    <w:rsid w:val="00FD05FA"/>
    <w:rsid w:val="00FD30C6"/>
    <w:rsid w:val="00FD4001"/>
    <w:rsid w:val="00FD58ED"/>
    <w:rsid w:val="00FE35D7"/>
    <w:rsid w:val="00FE40CD"/>
    <w:rsid w:val="00FE5DDF"/>
    <w:rsid w:val="00FE66A8"/>
    <w:rsid w:val="00FF3976"/>
    <w:rsid w:val="00FF4BF1"/>
    <w:rsid w:val="00FF5173"/>
    <w:rsid w:val="00FF5849"/>
    <w:rsid w:val="00FF5A1D"/>
    <w:rsid w:val="00FF5AA8"/>
    <w:rsid w:val="00FF5CC9"/>
    <w:rsid w:val="00FF5F09"/>
    <w:rsid w:val="5FB5FB67"/>
    <w:rsid w:val="6E3DA13D"/>
    <w:rsid w:val="7BBF21F6"/>
    <w:rsid w:val="7DEB3C97"/>
    <w:rsid w:val="7FBF1ED9"/>
    <w:rsid w:val="7FD71604"/>
    <w:rsid w:val="9FFF0891"/>
    <w:rsid w:val="D9BF5F60"/>
    <w:rsid w:val="F6C7D73C"/>
    <w:rsid w:val="FDE66FBC"/>
    <w:rsid w:val="FF5F310C"/>
    <w:rsid w:val="FFBC7A9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uk-UA"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9"/>
    <w:qFormat/>
    <w:uiPriority w:val="0"/>
    <w:pPr>
      <w:spacing w:after="120" w:line="276" w:lineRule="auto"/>
    </w:pPr>
    <w:rPr>
      <w:rFonts w:ascii="Calibri" w:hAnsi="Calibri"/>
      <w:sz w:val="20"/>
      <w:szCs w:val="20"/>
    </w:rPr>
  </w:style>
  <w:style w:type="paragraph" w:styleId="5">
    <w:name w:val="Body Text Indent"/>
    <w:basedOn w:val="1"/>
    <w:link w:val="42"/>
    <w:semiHidden/>
    <w:unhideWhenUsed/>
    <w:qFormat/>
    <w:uiPriority w:val="99"/>
    <w:pPr>
      <w:spacing w:after="120"/>
      <w:ind w:left="283"/>
    </w:pPr>
  </w:style>
  <w:style w:type="paragraph" w:styleId="6">
    <w:name w:val="footer"/>
    <w:basedOn w:val="1"/>
    <w:link w:val="20"/>
    <w:unhideWhenUsed/>
    <w:qFormat/>
    <w:uiPriority w:val="99"/>
    <w:pPr>
      <w:tabs>
        <w:tab w:val="center" w:pos="4677"/>
        <w:tab w:val="right" w:pos="9355"/>
      </w:tabs>
    </w:pPr>
  </w:style>
  <w:style w:type="paragraph" w:styleId="7">
    <w:name w:val="header"/>
    <w:basedOn w:val="1"/>
    <w:link w:val="19"/>
    <w:unhideWhenUsed/>
    <w:qFormat/>
    <w:uiPriority w:val="99"/>
    <w:pPr>
      <w:tabs>
        <w:tab w:val="center" w:pos="4677"/>
        <w:tab w:val="right" w:pos="9355"/>
      </w:tabs>
    </w:pPr>
  </w:style>
  <w:style w:type="paragraph" w:styleId="8">
    <w:name w:val="HTML Preformatted"/>
    <w:basedOn w:val="1"/>
    <w:link w:val="2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ahoma"/>
      <w:color w:val="00000A"/>
      <w:sz w:val="18"/>
      <w:szCs w:val="20"/>
      <w:lang w:eastAsia="zh-CN"/>
    </w:rPr>
  </w:style>
  <w:style w:type="character" w:styleId="9">
    <w:name w:val="Hyperlink"/>
    <w:basedOn w:val="2"/>
    <w:unhideWhenUsed/>
    <w:qFormat/>
    <w:uiPriority w:val="99"/>
    <w:rPr>
      <w:color w:val="0000FF"/>
      <w:u w:val="single"/>
    </w:rPr>
  </w:style>
  <w:style w:type="paragraph" w:styleId="10">
    <w:name w:val="Normal (Web)"/>
    <w:basedOn w:val="1"/>
    <w:link w:val="38"/>
    <w:qFormat/>
    <w:uiPriority w:val="99"/>
    <w:pPr>
      <w:spacing w:beforeAutospacing="1" w:afterAutospacing="1"/>
    </w:pPr>
    <w:rPr>
      <w:color w:val="00000A"/>
      <w:lang w:bidi="hi-IN"/>
    </w:rPr>
  </w:style>
  <w:style w:type="character" w:styleId="11">
    <w:name w:val="Strong"/>
    <w:qFormat/>
    <w:uiPriority w:val="22"/>
    <w:rPr>
      <w:b/>
      <w:bCs/>
    </w:rPr>
  </w:style>
  <w:style w:type="table" w:styleId="12">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Без интервала4"/>
    <w:qFormat/>
    <w:uiPriority w:val="0"/>
    <w:pPr>
      <w:suppressAutoHyphens/>
      <w:spacing w:line="100" w:lineRule="atLeast"/>
    </w:pPr>
    <w:rPr>
      <w:rFonts w:ascii="Calibri" w:hAnsi="Calibri" w:eastAsia="Calibri" w:cs="Times New Roman"/>
      <w:sz w:val="22"/>
      <w:szCs w:val="22"/>
      <w:lang w:val="uk-UA" w:eastAsia="ar-SA" w:bidi="ar-SA"/>
    </w:rPr>
  </w:style>
  <w:style w:type="paragraph" w:styleId="14">
    <w:name w:val="No Spacing"/>
    <w:link w:val="15"/>
    <w:qFormat/>
    <w:uiPriority w:val="1"/>
    <w:rPr>
      <w:rFonts w:ascii="Calibri" w:hAnsi="Calibri" w:eastAsia="Tahoma" w:cs="Times New Roman"/>
      <w:color w:val="00000A"/>
      <w:sz w:val="22"/>
      <w:szCs w:val="22"/>
      <w:lang w:val="uk-UA" w:eastAsia="en-US" w:bidi="ar-SA"/>
    </w:rPr>
  </w:style>
  <w:style w:type="character" w:customStyle="1" w:styleId="15">
    <w:name w:val="Без интервала Знак"/>
    <w:link w:val="14"/>
    <w:qFormat/>
    <w:locked/>
    <w:uiPriority w:val="1"/>
    <w:rPr>
      <w:rFonts w:ascii="Calibri" w:hAnsi="Calibri" w:eastAsia="Tahoma" w:cs="Times New Roman"/>
      <w:color w:val="00000A"/>
      <w:lang w:val="uk-UA"/>
    </w:rPr>
  </w:style>
  <w:style w:type="paragraph" w:styleId="16">
    <w:name w:val="List Paragraph"/>
    <w:basedOn w:val="1"/>
    <w:link w:val="17"/>
    <w:qFormat/>
    <w:uiPriority w:val="34"/>
    <w:pPr>
      <w:ind w:left="720"/>
      <w:contextualSpacing/>
    </w:pPr>
  </w:style>
  <w:style w:type="character" w:customStyle="1" w:styleId="17">
    <w:name w:val="Абзац списка Знак"/>
    <w:link w:val="16"/>
    <w:qFormat/>
    <w:locked/>
    <w:uiPriority w:val="34"/>
    <w:rPr>
      <w:rFonts w:ascii="Times New Roman" w:hAnsi="Times New Roman" w:eastAsia="Times New Roman" w:cs="Times New Roman"/>
      <w:sz w:val="24"/>
      <w:szCs w:val="24"/>
      <w:lang w:val="uk-UA" w:eastAsia="ru-RU"/>
    </w:rPr>
  </w:style>
  <w:style w:type="character" w:customStyle="1" w:styleId="18">
    <w:name w:val="rvts23"/>
    <w:basedOn w:val="2"/>
    <w:qFormat/>
    <w:uiPriority w:val="0"/>
  </w:style>
  <w:style w:type="character" w:customStyle="1" w:styleId="19">
    <w:name w:val="Верхний колонтитул Знак"/>
    <w:basedOn w:val="2"/>
    <w:link w:val="7"/>
    <w:qFormat/>
    <w:uiPriority w:val="99"/>
    <w:rPr>
      <w:rFonts w:ascii="Times New Roman" w:hAnsi="Times New Roman" w:eastAsia="Times New Roman" w:cs="Times New Roman"/>
      <w:sz w:val="24"/>
      <w:szCs w:val="24"/>
      <w:lang w:val="uk-UA" w:eastAsia="ru-RU"/>
    </w:rPr>
  </w:style>
  <w:style w:type="character" w:customStyle="1" w:styleId="20">
    <w:name w:val="Нижний колонтитул Знак"/>
    <w:basedOn w:val="2"/>
    <w:link w:val="6"/>
    <w:qFormat/>
    <w:uiPriority w:val="99"/>
    <w:rPr>
      <w:rFonts w:ascii="Times New Roman" w:hAnsi="Times New Roman" w:eastAsia="Times New Roman" w:cs="Times New Roman"/>
      <w:sz w:val="24"/>
      <w:szCs w:val="24"/>
      <w:lang w:val="uk-UA" w:eastAsia="ru-RU"/>
    </w:rPr>
  </w:style>
  <w:style w:type="paragraph" w:customStyle="1" w:styleId="21">
    <w:name w:val="LO-normal"/>
    <w:qFormat/>
    <w:uiPriority w:val="99"/>
    <w:pPr>
      <w:spacing w:line="276" w:lineRule="auto"/>
    </w:pPr>
    <w:rPr>
      <w:rFonts w:ascii="Arial" w:hAnsi="Arial" w:eastAsia="Tahoma" w:cs="Arial"/>
      <w:color w:val="000000"/>
      <w:sz w:val="22"/>
      <w:szCs w:val="22"/>
      <w:lang w:val="ru-RU" w:eastAsia="zh-CN" w:bidi="ar-SA"/>
    </w:rPr>
  </w:style>
  <w:style w:type="character" w:customStyle="1" w:styleId="22">
    <w:name w:val="Стандартный HTML Знак1"/>
    <w:link w:val="8"/>
    <w:qFormat/>
    <w:locked/>
    <w:uiPriority w:val="0"/>
    <w:rPr>
      <w:rFonts w:ascii="Courier New" w:hAnsi="Courier New" w:eastAsia="Tahoma" w:cs="Times New Roman"/>
      <w:color w:val="00000A"/>
      <w:sz w:val="18"/>
      <w:szCs w:val="20"/>
      <w:lang w:val="uk-UA" w:eastAsia="zh-CN"/>
    </w:rPr>
  </w:style>
  <w:style w:type="character" w:customStyle="1" w:styleId="23">
    <w:name w:val="Стандартный HTML Знак"/>
    <w:basedOn w:val="2"/>
    <w:semiHidden/>
    <w:qFormat/>
    <w:uiPriority w:val="99"/>
    <w:rPr>
      <w:rFonts w:ascii="Consolas" w:hAnsi="Consolas" w:eastAsia="Times New Roman" w:cs="Times New Roman"/>
      <w:sz w:val="20"/>
      <w:szCs w:val="20"/>
      <w:lang w:val="uk-UA" w:eastAsia="ru-RU"/>
    </w:rPr>
  </w:style>
  <w:style w:type="paragraph" w:customStyle="1" w:styleId="24">
    <w:name w:val="xfmc1"/>
    <w:basedOn w:val="1"/>
    <w:qFormat/>
    <w:uiPriority w:val="0"/>
    <w:pPr>
      <w:spacing w:before="100" w:beforeAutospacing="1" w:after="100" w:afterAutospacing="1"/>
    </w:pPr>
    <w:rPr>
      <w:lang w:eastAsia="uk-UA"/>
    </w:rPr>
  </w:style>
  <w:style w:type="paragraph" w:customStyle="1" w:styleId="25">
    <w:name w:val="Абзац списка1"/>
    <w:basedOn w:val="1"/>
    <w:qFormat/>
    <w:uiPriority w:val="0"/>
    <w:pPr>
      <w:ind w:left="720"/>
      <w:contextualSpacing/>
    </w:pPr>
    <w:rPr>
      <w:lang w:val="ru-RU"/>
    </w:rPr>
  </w:style>
  <w:style w:type="character" w:customStyle="1" w:styleId="26">
    <w:name w:val="Font Style37"/>
    <w:qFormat/>
    <w:uiPriority w:val="99"/>
    <w:rPr>
      <w:rFonts w:ascii="Times New Roman" w:hAnsi="Times New Roman"/>
      <w:i/>
      <w:sz w:val="22"/>
    </w:rPr>
  </w:style>
  <w:style w:type="paragraph" w:customStyle="1" w:styleId="27">
    <w:name w:val="LO-normal1"/>
    <w:qFormat/>
    <w:uiPriority w:val="99"/>
    <w:pPr>
      <w:spacing w:line="276" w:lineRule="auto"/>
    </w:pPr>
    <w:rPr>
      <w:rFonts w:ascii="Arial" w:hAnsi="Arial" w:eastAsia="Times New Roman" w:cs="Arial"/>
      <w:color w:val="000000"/>
      <w:sz w:val="22"/>
      <w:szCs w:val="22"/>
      <w:lang w:val="ru-RU" w:eastAsia="ru-RU" w:bidi="ar-SA"/>
    </w:rPr>
  </w:style>
  <w:style w:type="paragraph" w:customStyle="1" w:styleId="28">
    <w:name w:val="Обычный (веб)1"/>
    <w:basedOn w:val="1"/>
    <w:qFormat/>
    <w:uiPriority w:val="99"/>
    <w:pPr>
      <w:suppressAutoHyphens/>
      <w:spacing w:before="280" w:after="280"/>
    </w:pPr>
    <w:rPr>
      <w:lang w:val="ru-RU" w:eastAsia="ar-SA"/>
    </w:rPr>
  </w:style>
  <w:style w:type="character" w:customStyle="1" w:styleId="29">
    <w:name w:val="Основной текст Знак"/>
    <w:basedOn w:val="2"/>
    <w:link w:val="4"/>
    <w:qFormat/>
    <w:uiPriority w:val="0"/>
    <w:rPr>
      <w:rFonts w:ascii="Calibri" w:hAnsi="Calibri" w:eastAsia="Times New Roman" w:cs="Times New Roman"/>
      <w:sz w:val="20"/>
      <w:szCs w:val="20"/>
      <w:lang w:val="uk-UA" w:eastAsia="ru-RU"/>
    </w:rPr>
  </w:style>
  <w:style w:type="character" w:customStyle="1" w:styleId="30">
    <w:name w:val="rvts0"/>
    <w:qFormat/>
    <w:uiPriority w:val="0"/>
    <w:rPr>
      <w:rFonts w:hint="default" w:ascii="Times New Roman" w:hAnsi="Times New Roman" w:cs="Times New Roman"/>
    </w:rPr>
  </w:style>
  <w:style w:type="paragraph" w:customStyle="1" w:styleId="31">
    <w:name w:val="Обычный1"/>
    <w:qFormat/>
    <w:uiPriority w:val="0"/>
    <w:pPr>
      <w:spacing w:line="276" w:lineRule="auto"/>
    </w:pPr>
    <w:rPr>
      <w:rFonts w:ascii="Arial" w:hAnsi="Arial" w:eastAsia="Times New Roman" w:cs="Arial"/>
      <w:color w:val="000000"/>
      <w:sz w:val="22"/>
      <w:szCs w:val="22"/>
      <w:lang w:val="ru-RU" w:eastAsia="ru-RU" w:bidi="ar-SA"/>
    </w:rPr>
  </w:style>
  <w:style w:type="paragraph" w:customStyle="1" w:styleId="32">
    <w:name w:val="Обычный11"/>
    <w:qFormat/>
    <w:uiPriority w:val="0"/>
    <w:pPr>
      <w:spacing w:line="276" w:lineRule="auto"/>
    </w:pPr>
    <w:rPr>
      <w:rFonts w:ascii="Arial" w:hAnsi="Arial" w:eastAsia="Times New Roman" w:cs="Arial"/>
      <w:color w:val="000000"/>
      <w:sz w:val="22"/>
      <w:szCs w:val="22"/>
      <w:lang w:val="ru-RU" w:eastAsia="ru-RU" w:bidi="ar-SA"/>
    </w:rPr>
  </w:style>
  <w:style w:type="paragraph" w:customStyle="1" w:styleId="33">
    <w:name w:val="Основний текст1"/>
    <w:basedOn w:val="1"/>
    <w:qFormat/>
    <w:uiPriority w:val="0"/>
    <w:pPr>
      <w:spacing w:after="140" w:line="288" w:lineRule="auto"/>
    </w:pPr>
    <w:rPr>
      <w:rFonts w:ascii="Liberation Serif" w:hAnsi="Liberation Serif" w:cs="Lohit Devanagari"/>
      <w:color w:val="00000A"/>
      <w:lang w:eastAsia="zh-CN" w:bidi="hi-IN"/>
    </w:rPr>
  </w:style>
  <w:style w:type="character" w:customStyle="1" w:styleId="34">
    <w:name w:val="Неразрешенное упоминание1"/>
    <w:basedOn w:val="2"/>
    <w:semiHidden/>
    <w:unhideWhenUsed/>
    <w:qFormat/>
    <w:uiPriority w:val="99"/>
    <w:rPr>
      <w:color w:val="605E5C"/>
      <w:shd w:val="clear" w:color="auto" w:fill="E1DFDD"/>
    </w:rPr>
  </w:style>
  <w:style w:type="character" w:customStyle="1" w:styleId="35">
    <w:name w:val="Неразрешенное упоминание2"/>
    <w:basedOn w:val="2"/>
    <w:semiHidden/>
    <w:unhideWhenUsed/>
    <w:qFormat/>
    <w:uiPriority w:val="99"/>
    <w:rPr>
      <w:color w:val="605E5C"/>
      <w:shd w:val="clear" w:color="auto" w:fill="E1DFDD"/>
    </w:rPr>
  </w:style>
  <w:style w:type="paragraph" w:customStyle="1" w:styleId="36">
    <w:name w:val="Без интервала1"/>
    <w:qFormat/>
    <w:uiPriority w:val="0"/>
    <w:rPr>
      <w:rFonts w:ascii="Calibri" w:hAnsi="Calibri" w:eastAsia="Times New Roman" w:cs="Times New Roman"/>
      <w:sz w:val="22"/>
      <w:szCs w:val="22"/>
      <w:lang w:val="ru-RU" w:eastAsia="en-US" w:bidi="ar-SA"/>
    </w:rPr>
  </w:style>
  <w:style w:type="paragraph" w:customStyle="1" w:styleId="37">
    <w:name w:val="Default"/>
    <w:qFormat/>
    <w:uiPriority w:val="0"/>
    <w:pPr>
      <w:autoSpaceDE w:val="0"/>
      <w:autoSpaceDN w:val="0"/>
      <w:adjustRightInd w:val="0"/>
    </w:pPr>
    <w:rPr>
      <w:rFonts w:ascii="Times New Roman" w:hAnsi="Times New Roman" w:eastAsia="Calibri" w:cs="Times New Roman"/>
      <w:color w:val="000000"/>
      <w:sz w:val="24"/>
      <w:szCs w:val="24"/>
      <w:lang w:val="ru-RU" w:eastAsia="ru-RU" w:bidi="ar-SA"/>
    </w:rPr>
  </w:style>
  <w:style w:type="character" w:customStyle="1" w:styleId="38">
    <w:name w:val="Обычный (веб) Знак"/>
    <w:link w:val="10"/>
    <w:qFormat/>
    <w:locked/>
    <w:uiPriority w:val="0"/>
    <w:rPr>
      <w:rFonts w:ascii="Times New Roman" w:hAnsi="Times New Roman" w:eastAsia="Times New Roman" w:cs="Times New Roman"/>
      <w:color w:val="00000A"/>
      <w:sz w:val="24"/>
      <w:szCs w:val="24"/>
      <w:lang w:val="uk-UA" w:eastAsia="ru-RU" w:bidi="hi-IN"/>
    </w:rPr>
  </w:style>
  <w:style w:type="paragraph" w:customStyle="1" w:styleId="39">
    <w:name w:val="Нормальний текст"/>
    <w:basedOn w:val="1"/>
    <w:qFormat/>
    <w:uiPriority w:val="0"/>
    <w:pPr>
      <w:spacing w:before="120"/>
      <w:ind w:firstLine="567"/>
    </w:pPr>
    <w:rPr>
      <w:rFonts w:ascii="Antiqua" w:hAnsi="Antiqua"/>
      <w:sz w:val="26"/>
      <w:szCs w:val="20"/>
    </w:rPr>
  </w:style>
  <w:style w:type="paragraph" w:customStyle="1" w:styleId="40">
    <w:name w:val="Вміст таблиці"/>
    <w:basedOn w:val="1"/>
    <w:next w:val="1"/>
    <w:qFormat/>
    <w:uiPriority w:val="0"/>
    <w:pPr>
      <w:suppressLineNumbers/>
      <w:suppressAutoHyphens/>
    </w:pPr>
    <w:rPr>
      <w:rFonts w:eastAsia="Calibri"/>
      <w:sz w:val="20"/>
      <w:szCs w:val="20"/>
      <w:lang w:eastAsia="zh-CN"/>
    </w:rPr>
  </w:style>
  <w:style w:type="character" w:customStyle="1" w:styleId="41">
    <w:name w:val="Незакрита згадка1"/>
    <w:basedOn w:val="2"/>
    <w:semiHidden/>
    <w:unhideWhenUsed/>
    <w:qFormat/>
    <w:uiPriority w:val="99"/>
    <w:rPr>
      <w:color w:val="605E5C"/>
      <w:shd w:val="clear" w:color="auto" w:fill="E1DFDD"/>
    </w:rPr>
  </w:style>
  <w:style w:type="character" w:customStyle="1" w:styleId="42">
    <w:name w:val="Основной текст с отступом Знак"/>
    <w:basedOn w:val="2"/>
    <w:link w:val="5"/>
    <w:semiHidden/>
    <w:qFormat/>
    <w:uiPriority w:val="99"/>
    <w:rPr>
      <w:rFonts w:ascii="Times New Roman" w:hAnsi="Times New Roman" w:eastAsia="Times New Roman" w:cs="Times New Roman"/>
      <w:sz w:val="24"/>
      <w:szCs w:val="24"/>
      <w:lang w:val="uk-UA" w:eastAsia="ru-RU"/>
    </w:rPr>
  </w:style>
  <w:style w:type="paragraph" w:customStyle="1" w:styleId="43">
    <w:name w:val="Standard"/>
    <w:qFormat/>
    <w:uiPriority w:val="0"/>
    <w:pPr>
      <w:widowControl w:val="0"/>
      <w:suppressAutoHyphens/>
      <w:autoSpaceDN w:val="0"/>
    </w:pPr>
    <w:rPr>
      <w:rFonts w:ascii="Liberation Serif" w:hAnsi="Liberation Serif" w:eastAsia="Segoe UI" w:cs="Tahoma"/>
      <w:color w:val="000000"/>
      <w:kern w:val="3"/>
      <w:sz w:val="24"/>
      <w:szCs w:val="24"/>
      <w:lang w:val="en-US" w:eastAsia="zh-CN" w:bidi="hi-IN"/>
    </w:rPr>
  </w:style>
  <w:style w:type="paragraph" w:customStyle="1" w:styleId="44">
    <w:name w:val="rvps2"/>
    <w:basedOn w:val="1"/>
    <w:qFormat/>
    <w:uiPriority w:val="0"/>
    <w:pPr>
      <w:spacing w:before="100" w:beforeAutospacing="1" w:after="100" w:afterAutospacing="1"/>
    </w:pPr>
    <w:rPr>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25</Pages>
  <Words>40042</Words>
  <Characters>22824</Characters>
  <Lines>190</Lines>
  <Paragraphs>125</Paragraphs>
  <TotalTime>5</TotalTime>
  <ScaleCrop>false</ScaleCrop>
  <LinksUpToDate>false</LinksUpToDate>
  <CharactersWithSpaces>62741</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2023-06-28T18:29:00Z</dcterms:created>
  <dc:creator>win10</dc:creator>
  <cp:lastModifiedBy>U</cp:lastModifiedBy>
  <cp:lastPrinted>2023-06-22T12:31:00Z</cp:lastPrinted>
  <dcterms:modified xsi:type="dcterms:W3CDTF">2024-04-09T10:44:49Z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