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both"/>
        <w:rPr/>
      </w:pPr>
      <w:r>
        <w:rPr>
          <w:rFonts w:ascii="Times New Roman" w:hAnsi="Times New Roman"/>
          <w:b/>
          <w:bCs/>
        </w:rPr>
        <w:t xml:space="preserve">Обґрунтування: </w:t>
      </w:r>
      <w:r>
        <w:rPr>
          <w:rFonts w:ascii="Times New Roman" w:hAnsi="Times New Roman"/>
        </w:rPr>
        <w:t>Закон України “Про публічні закупівлі” визначає правові та економічні засади здійснення закупівель товарів, робіт і послуг для забезпечення потреб держави, територіальних громад та об’єднаних територіальних громад.</w:t>
      </w:r>
    </w:p>
    <w:p>
      <w:pPr>
        <w:pStyle w:val="Normal"/>
        <w:ind w:firstLine="567"/>
        <w:jc w:val="both"/>
        <w:rPr/>
      </w:pPr>
      <w:r>
        <w:rPr>
          <w:rFonts w:ascii="Times New Roman" w:hAnsi="Times New Roman"/>
        </w:rPr>
        <w:t>Пункт 37 Розділу X “Прикінцеві та перехідні положення” Закону України “Про публічні закупівлі” встановлює, що на період дії правового режиму воєнного стану в Україні та протягом 90 днів з дня його припинення або скасування особливості здійснення закупівель товарів, робіт і послуг для замовників, передбачених цим Законом, визначаються Кабінетом Міністрів України із забезпеченням захищеності таких замовників від воєнних загроз.</w:t>
      </w:r>
    </w:p>
    <w:p>
      <w:pPr>
        <w:pStyle w:val="Normal"/>
        <w:ind w:firstLine="567"/>
        <w:jc w:val="both"/>
        <w:rPr/>
      </w:pPr>
      <w:r>
        <w:rPr>
          <w:rFonts w:ascii="Times New Roman" w:hAnsi="Times New Roman"/>
        </w:rPr>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 1178 (далі -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pPr>
        <w:pStyle w:val="Normal"/>
        <w:ind w:firstLine="567"/>
        <w:jc w:val="both"/>
        <w:rPr/>
      </w:pPr>
      <w:r>
        <w:rPr>
          <w:rFonts w:ascii="Times New Roman" w:hAnsi="Times New Roman"/>
        </w:rPr>
        <w:t>У відповідності до абзацу першого пункту 11 Особливостей, для здійснення закупівель товарів і послуг (крім послуг з поточного ремонту), вартість яких є меншою, ніж 100 тис. гривень, послуг з поточного ремонту, вартість яких є меншою, ніж 200 тис. гривень, робіт, вартість яких є меншою, ніж 1,5 млн.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pPr>
        <w:pStyle w:val="Normal"/>
        <w:ind w:firstLine="567"/>
        <w:jc w:val="both"/>
        <w:rPr/>
      </w:pPr>
      <w:r>
        <w:rPr>
          <w:rFonts w:ascii="Times New Roman" w:hAnsi="Times New Roman"/>
        </w:rPr>
        <w:t>Водночас згідно абзацу 5 підпункту 5 пункту 13 Особливостей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роботи, товари чи послуги можуть бути виконані, поставлені чи надані виключно певним суб’єктом господарювання зокрема у випадку необхідності захисту прав інтелектуальної власності.</w:t>
      </w:r>
    </w:p>
    <w:p>
      <w:pPr>
        <w:pStyle w:val="Normal"/>
        <w:ind w:firstLine="567"/>
        <w:jc w:val="both"/>
        <w:rPr/>
      </w:pPr>
      <w:r>
        <w:rPr>
          <w:rFonts w:ascii="Times New Roman" w:hAnsi="Times New Roman"/>
        </w:rPr>
        <w:t>Закон України “Про авторське і суміжні права” регулює відносини щодо набуття, здійснення та захисту особистих немайнових та майнових авторських та/або суміжних прав, а також щодо прав особливого роду (sui generis), пов’язаних зі сферою авторського права та/або суміжних прав.</w:t>
      </w:r>
    </w:p>
    <w:p>
      <w:pPr>
        <w:pStyle w:val="Normal"/>
        <w:ind w:firstLine="567"/>
        <w:jc w:val="both"/>
        <w:rPr/>
      </w:pPr>
      <w:r>
        <w:rPr>
          <w:rFonts w:ascii="Times New Roman" w:hAnsi="Times New Roman"/>
        </w:rPr>
        <w:t>В розумінні пункту 56 частини першої статті 1 Закону України “Про авторське і суміжні права” твір - оригінальне інтелектуальне творіння автора (співавторів) у сфері науки, літератури, мистецтва тощо, виражене в об’єктивній формі.</w:t>
      </w:r>
    </w:p>
    <w:p>
      <w:pPr>
        <w:pStyle w:val="Normal"/>
        <w:ind w:firstLine="567"/>
        <w:jc w:val="both"/>
        <w:rPr/>
      </w:pPr>
      <w:r>
        <w:rPr>
          <w:rFonts w:ascii="Times New Roman" w:hAnsi="Times New Roman"/>
        </w:rPr>
        <w:t>Відповідно до пункту 16 частини першої статті 6 Закону України “Про авторське і суміжні права” об’єктами авторського права є твори у сфері літератури, мистецтва, науки, зокрема комп’ютерні програми.</w:t>
      </w:r>
    </w:p>
    <w:p>
      <w:pPr>
        <w:pStyle w:val="Normal"/>
        <w:ind w:firstLine="567"/>
        <w:jc w:val="both"/>
        <w:rPr/>
      </w:pPr>
      <w:r>
        <w:rPr>
          <w:rFonts w:ascii="Times New Roman" w:hAnsi="Times New Roman"/>
        </w:rPr>
        <w:t xml:space="preserve">Відповідно до пункту 26 частини першої статті 1 Закону України “Про авторське і суміжні права” комп’ютерна програма - набір інструкцій у вигляді слів, цифр, кодів, схем, символів чи в будь-якому іншому вигляді, виражених у формі, придатній для зчитування комп’ютером (настільним комп’ютером, ноутбуком, смартфоном, ігровою приставкою, смарт-телевізором тощо), які приводять його у дію для досягнення певної мети або результату, зокрема операційна система, прикладна програма, виражені у вихідному або об’єктному кодах. </w:t>
      </w:r>
    </w:p>
    <w:p>
      <w:pPr>
        <w:pStyle w:val="Normal"/>
        <w:ind w:firstLine="567"/>
        <w:jc w:val="both"/>
        <w:rPr/>
      </w:pPr>
      <w:r>
        <w:rPr>
          <w:rFonts w:ascii="Times New Roman" w:hAnsi="Times New Roman"/>
        </w:rPr>
        <w:t>Зі змісту наведеного слідує, що комп’ютерна програма в розумінні Закону України “Про авторське і суміжні права” є об’єктом авторського права та підлягає захисту в межах чинного законодавства.</w:t>
      </w:r>
    </w:p>
    <w:p>
      <w:pPr>
        <w:pStyle w:val="Normal"/>
        <w:ind w:firstLine="567"/>
        <w:jc w:val="both"/>
        <w:rPr/>
      </w:pPr>
      <w:r>
        <w:rPr>
          <w:rFonts w:ascii="Times New Roman" w:hAnsi="Times New Roman"/>
        </w:rPr>
        <w:t>У відповідності до частини четвертої статті 433 Цивільного кодексу України комп’ютерні програми охороняються як літературні твори.</w:t>
      </w:r>
    </w:p>
    <w:p>
      <w:pPr>
        <w:pStyle w:val="Normal"/>
        <w:ind w:firstLine="567"/>
        <w:jc w:val="both"/>
        <w:rPr/>
      </w:pPr>
      <w:r>
        <w:rPr>
          <w:rFonts w:ascii="Times New Roman" w:hAnsi="Times New Roman"/>
        </w:rPr>
        <w:t>23.04.2018 між Управлінням містобудування та архітектури виконавчого комітету Рівненської міської ради та Фізичною особою підприємцем Черіном Андрієм Геннадійовичем (далі - Виконавець) укладено угоду № МК1801.</w:t>
      </w:r>
    </w:p>
    <w:p>
      <w:pPr>
        <w:pStyle w:val="Normal"/>
        <w:ind w:firstLine="567"/>
        <w:jc w:val="both"/>
        <w:rPr/>
      </w:pPr>
      <w:r>
        <w:rPr>
          <w:rFonts w:ascii="Times New Roman" w:hAnsi="Times New Roman"/>
        </w:rPr>
        <w:t>Предметом вищезгаданого договору є надання послуг пов’язаних з програмним забезпеченням (послуги з супроводженням програмного забезпечення створення та ведення системи баз даних містобудівного на базі програмного комплексу SOFTPRO, згідно умов Договору Виконавець надав послуги поставки ліцензій на комплекти використання підсистем до програмного комплексу “SOFTPRO:Містобудівний кадастр”, при цьому майнові та авторські права на об’єкт інтелектуальної власності на програмне забезпечення залишилися у розробника, а Управлінню містобудування та архітектури виконавчого комітету Рівненської міської ради надано право користування без права передачі самого програмного забезпечення та/або повноважень на його користування третім особам у вигляді передачі невиключного права на використання згідно Ліцензійної угоди Замовнику.</w:t>
      </w:r>
    </w:p>
    <w:p>
      <w:pPr>
        <w:pStyle w:val="Normal"/>
        <w:tabs>
          <w:tab w:val="left" w:pos="709" w:leader="none"/>
        </w:tabs>
        <w:ind w:firstLine="567"/>
        <w:jc w:val="both"/>
        <w:rPr/>
      </w:pPr>
      <w:r>
        <w:rPr>
          <w:rFonts w:eastAsia="Times New Roman" w:cs="Times New Roman" w:ascii="Times New Roman" w:hAnsi="Times New Roman"/>
          <w:color w:val="000000"/>
          <w:lang w:bidi="ar-SA"/>
        </w:rPr>
        <w:t>В подальшому в Управління містобудування та архітектури виконавчого комітету Рівненської міської ради виникла потреба у розширені програмного комплексу, а саме впровадження підсистеми “Службовий  кабінет постачальника геопросторових даних” програмного комплексу SOFTPRO: Містобудівний кадастр, задля впорядкування та створення нових наборів даних відповідальними органами Рівненської міської ради, регулювання прав доступу до даних. Забезпечення можливості представлення об’єктів на карті, а також виведення атрибутивної інформації по об’єктах. Формування нових наборів даних, автоматизацію збору даних, регуляцію внесення змін відповідальними особами за відповідними правами доступу, забезпечувати автоматизацію процесів збирання, обліку, актуалізації та використання даних у режимі реального часу, що створить передумови для ефективного вирішення функціональних завдань та надання громадськості достовірної містобудівної інформації.</w:t>
      </w:r>
    </w:p>
    <w:p>
      <w:pPr>
        <w:pStyle w:val="Normal"/>
        <w:ind w:firstLine="567"/>
        <w:jc w:val="both"/>
        <w:rPr/>
      </w:pPr>
      <w:r>
        <w:rPr>
          <w:rFonts w:ascii="Times New Roman" w:hAnsi="Times New Roman"/>
        </w:rPr>
        <w:t>Підсистема “Службовий кабінет постачальника геопросторових даних” програмного комплексу SOFTPRO: Містобудівний кадастр є безпосередньо складовою частиною програмного комплексу SOFTPRO: Містобудівний кадастр.</w:t>
      </w:r>
    </w:p>
    <w:p>
      <w:pPr>
        <w:pStyle w:val="Normal"/>
        <w:ind w:firstLine="567"/>
        <w:jc w:val="both"/>
        <w:rPr/>
      </w:pPr>
      <w:r>
        <w:rPr>
          <w:rFonts w:ascii="Times New Roman" w:hAnsi="Times New Roman"/>
        </w:rPr>
        <w:t>Поряд з цим авторське право на програмний комплекс SOFTPRO:Містобудівний кадастр та його підсистеми належать Черіну Андрію Геннадійовичу згідно “Свідоцтва про реєстрацію авторського права” Державної служби інтелектуальної власності України від 08.06.2015  № 60072.</w:t>
      </w:r>
    </w:p>
    <w:p>
      <w:pPr>
        <w:pStyle w:val="Normal"/>
        <w:ind w:firstLine="567"/>
        <w:jc w:val="both"/>
        <w:rPr/>
      </w:pPr>
      <w:r>
        <w:rPr>
          <w:rFonts w:ascii="Times New Roman" w:hAnsi="Times New Roman"/>
        </w:rPr>
        <w:t>Відповідно до частини першої статті 435 Цивільного кодексу України первинним суб’єктом авторського права є автор твору.</w:t>
      </w:r>
    </w:p>
    <w:p>
      <w:pPr>
        <w:pStyle w:val="Normal"/>
        <w:ind w:firstLine="567"/>
        <w:jc w:val="both"/>
        <w:rPr/>
      </w:pPr>
      <w:r>
        <w:rPr>
          <w:rFonts w:ascii="Times New Roman" w:hAnsi="Times New Roman"/>
        </w:rPr>
        <w:t>Особисті немайнові права, встановлені статтею 423 цього Кодексу та іншими законами належать автору твору згідно частини першої статті 438 Цивільного кодексу України.</w:t>
      </w:r>
    </w:p>
    <w:p>
      <w:pPr>
        <w:pStyle w:val="Normal"/>
        <w:ind w:firstLine="567"/>
        <w:jc w:val="both"/>
        <w:rPr/>
      </w:pPr>
      <w:r>
        <w:rPr>
          <w:rFonts w:ascii="Times New Roman" w:hAnsi="Times New Roman"/>
        </w:rPr>
        <w:t>Відтак програмний комплекс SOFTPRO:Містобудівний кадастр та його підсистеми є об’єктом авторського права та такими, що підлягають захисту в межах Закону України “Про авторське і суміжні права” та Цивільного кодексу України.</w:t>
      </w:r>
    </w:p>
    <w:p>
      <w:pPr>
        <w:pStyle w:val="Normal"/>
        <w:ind w:firstLine="567"/>
        <w:jc w:val="both"/>
        <w:rPr/>
      </w:pPr>
      <w:r>
        <w:rPr>
          <w:rFonts w:ascii="Times New Roman" w:hAnsi="Times New Roman"/>
        </w:rPr>
        <w:t>Відтак розробка та впровадження підсистеми “Службовий кабінет постачальника геопросторових даних” програмного комплексу SOFTPRO: Містобудівний кадастр є послугою, що може бути придбана Управлінням містобудування та архітектури виконавчого комітету Рівненської міської ради у виключного суб’єкта господарювання у зв’язку з необхідністю захисту прав інтелектуальної власності особи, що володіє авторським правом на такий твір.</w:t>
      </w:r>
    </w:p>
    <w:p>
      <w:pPr>
        <w:pStyle w:val="Normal"/>
        <w:ind w:firstLine="567"/>
        <w:jc w:val="both"/>
        <w:rPr/>
      </w:pPr>
      <w:r>
        <w:rPr>
          <w:rFonts w:ascii="Times New Roman" w:hAnsi="Times New Roman"/>
        </w:rPr>
        <w:t xml:space="preserve">Отже, з урахуванням викладеного, слід укласти прямий договір за предметом: </w:t>
      </w:r>
    </w:p>
    <w:p>
      <w:pPr>
        <w:pStyle w:val="Normal"/>
        <w:ind w:firstLine="567"/>
        <w:jc w:val="both"/>
        <w:rPr/>
      </w:pPr>
      <w:r>
        <w:rPr>
          <w:rFonts w:ascii="Times New Roman" w:hAnsi="Times New Roman"/>
        </w:rPr>
        <w:t xml:space="preserve">- послуги з розробки та впровадження підсистеми “Службовий кабінет постачальника геопросторових даних” програмного комплексу SOFTPRO: Містобудівний кадастр (ДК 021:2015: 48610000-7 – Системи баз даних) </w:t>
      </w:r>
      <w:r>
        <w:rPr/>
        <w:t>з</w:t>
      </w:r>
      <w:r>
        <w:rPr>
          <w:rFonts w:ascii="Times New Roman" w:hAnsi="Times New Roman"/>
        </w:rPr>
        <w:t xml:space="preserve"> Фізичною особою підприємцем Черіном Андрієм Геннадійовичем на суму 250 000 грн. 00 коп. без ПДВ  у зв’язку з необхідністю захисту прав інтелектуальної власності особи, що володіє авторським правом на такий твір, на підставі абзац</w:t>
      </w:r>
      <w:r>
        <w:rPr>
          <w:rFonts w:ascii="Times New Roman" w:hAnsi="Times New Roman"/>
          <w:sz w:val="24"/>
          <w:lang w:val="uk-UA"/>
        </w:rPr>
        <w:t xml:space="preserve">у </w:t>
      </w:r>
      <w:r>
        <w:rPr>
          <w:rFonts w:ascii="Times New Roman" w:hAnsi="Times New Roman"/>
        </w:rPr>
        <w:t>5 підпункт</w:t>
      </w:r>
      <w:r>
        <w:rPr>
          <w:rFonts w:ascii="Times New Roman" w:hAnsi="Times New Roman"/>
          <w:lang w:val="uk-UA"/>
        </w:rPr>
        <w:t>у</w:t>
      </w:r>
      <w:r>
        <w:rPr>
          <w:rFonts w:ascii="Times New Roman" w:hAnsi="Times New Roman"/>
        </w:rPr>
        <w:t xml:space="preserve"> 5 пункту 13 Особливостей.</w:t>
      </w:r>
    </w:p>
    <w:sectPr>
      <w:type w:val="nextPage"/>
      <w:pgSz w:w="11906" w:h="16838"/>
      <w:pgMar w:left="1701" w:right="567" w:header="0" w:top="567" w:footer="0" w:bottom="39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Setting w:name="useWord2013TrackBottomHyphenation"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uk-UA"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uk-UA" w:eastAsia="zh-CN" w:bidi="hi-IN"/>
    </w:rPr>
  </w:style>
  <w:style w:type="character" w:styleId="DefaultParagraphFont" w:default="1">
    <w:name w:val="Default Paragraph Font"/>
    <w:uiPriority w:val="1"/>
    <w:semiHidden/>
    <w:unhideWhenUsed/>
    <w:qFormat/>
    <w:rPr/>
  </w:style>
  <w:style w:type="paragraph" w:styleId="Style14" w:customStyle="1">
    <w:name w:val="Заголовок"/>
    <w:basedOn w:val="Normal"/>
    <w:next w:val="Style15"/>
    <w:qFormat/>
    <w:pPr>
      <w:keepNext w:val="true"/>
      <w:spacing w:before="240" w:after="120"/>
    </w:pPr>
    <w:rPr>
      <w:rFonts w:ascii="Liberation Sans" w:hAnsi="Liberation Sans" w:eastAsia="Microsoft YaHei"/>
      <w:sz w:val="28"/>
      <w:szCs w:val="28"/>
    </w:rPr>
  </w:style>
  <w:style w:type="paragraph" w:styleId="Style15">
    <w:name w:val="Body Text"/>
    <w:basedOn w:val="Normal"/>
    <w:pPr>
      <w:spacing w:lineRule="auto" w:line="276" w:before="0" w:after="140"/>
    </w:pPr>
    <w:rPr/>
  </w:style>
  <w:style w:type="paragraph" w:styleId="Style16">
    <w:name w:val="List"/>
    <w:basedOn w:val="Style15"/>
    <w:pPr/>
    <w:rPr/>
  </w:style>
  <w:style w:type="paragraph" w:styleId="Style17">
    <w:name w:val="Caption"/>
    <w:basedOn w:val="Normal"/>
    <w:qFormat/>
    <w:pPr>
      <w:suppressLineNumbers/>
      <w:spacing w:before="120" w:after="120"/>
    </w:pPr>
    <w:rPr>
      <w:rFonts w:cs="Lucida Sans"/>
      <w:i/>
      <w:iCs/>
      <w:sz w:val="24"/>
      <w:szCs w:val="24"/>
    </w:rPr>
  </w:style>
  <w:style w:type="paragraph" w:styleId="Style18" w:customStyle="1">
    <w:name w:val="Указатель"/>
    <w:basedOn w:val="Normal"/>
    <w:qFormat/>
    <w:pPr>
      <w:suppressLineNumbers/>
    </w:pPr>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LibreOffice/6.4.4.2$Windows_X86_64 LibreOffice_project/3d775be2011f3886db32dfd395a6a6d1ca2630ff</Application>
  <Pages>1</Pages>
  <Words>5407</Words>
  <Characters>3082</Characters>
  <CharactersWithSpaces>8473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2023-10-06T08:33:00Z</dcterms:created>
  <dc:creator/>
  <dc:description/>
  <dc:language>uk-UA</dc:language>
  <cp:lastModifiedBy/>
  <dcterms:modified xsi:type="dcterms:W3CDTF">2023-10-06T11:54:46Z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