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844556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22800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844556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Двадцять дві тисячі вісімсот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522D9B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о-кислотні акумуляторні батареї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31440000-2</w:t>
      </w:r>
    </w:p>
    <w:p w:rsidR="00844556" w:rsidRDefault="00522D9B" w:rsidP="0084455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</w:t>
      </w:r>
      <w:r w:rsidR="00DD04AE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12Вх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CSB</w:t>
      </w:r>
      <w:r w:rsidR="00CB559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16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  <w:r w:rsidR="00844556"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Країна виробник - В’єтнам.</w:t>
      </w:r>
    </w:p>
    <w:p w:rsidR="00993D10" w:rsidRDefault="0084455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RAID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–контролера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PERC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700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Lithium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Ion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Recharch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Battery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Wh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Type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463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For server DELL R710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3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844556" w:rsidRDefault="00844556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Акумуляторна батарея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RAID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–контролера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PERC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H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mini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Lithium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Ion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Battery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V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1.8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Wh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Type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40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JJ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For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server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DELL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7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3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i/>
          <w:color w:val="000000"/>
          <w:sz w:val="24"/>
          <w:szCs w:val="24"/>
          <w:lang w:eastAsia="ru-RU"/>
        </w:rPr>
        <w:t>44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одиниць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844556" w:rsidRPr="00844556">
        <w:rPr>
          <w:rFonts w:ascii="Times New Roman" w:hAnsi="Times New Roman"/>
          <w:i/>
          <w:color w:val="000000"/>
          <w:sz w:val="24"/>
          <w:szCs w:val="24"/>
          <w:lang w:val="ru-RU"/>
        </w:rPr>
        <w:t>29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844556">
        <w:rPr>
          <w:rFonts w:ascii="Times New Roman" w:hAnsi="Times New Roman"/>
          <w:i/>
          <w:color w:val="000000"/>
          <w:sz w:val="24"/>
          <w:szCs w:val="24"/>
          <w:lang w:val="en-US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522D9B" w:rsidRPr="00522D9B" w:rsidRDefault="00522D9B" w:rsidP="00522D9B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Свинцево-кислотні акумуляторні батареї , код ДК 021:2015 – 314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400</w:t>
      </w:r>
      <w:r w:rsidRP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00-</w:t>
      </w:r>
      <w:r w:rsidR="00DD04A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</w:t>
      </w:r>
    </w:p>
    <w:p w:rsidR="00844556" w:rsidRP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Акумуляторна батарея 12Вх5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CSB – 16 штук; Країна виробник - В’єтнам.</w:t>
      </w:r>
    </w:p>
    <w:p w:rsidR="00844556" w:rsidRP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Акумуляторна батарея RAID –контролера DELL PERC H 700 (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Lithium-Ion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Recharch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Battery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3.7V 7Wh Type:FR463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For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server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DELL R710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3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844556" w:rsidRDefault="00844556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Акумуляторна батарея RAID –контролера DELL PERC H 730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mini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Lithium-Ion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Battery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3.7V 1.8Wh 500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mAh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Type:T40JJ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For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server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DELL R730</w:t>
      </w:r>
      <w:r w:rsidR="00F77D78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 </w:t>
      </w:r>
      <w:proofErr w:type="spellStart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844556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Default="00A83A7C" w:rsidP="00844556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0224">
        <w:rPr>
          <w:rFonts w:ascii="Times New Roman" w:hAnsi="Times New Roman"/>
          <w:sz w:val="24"/>
          <w:szCs w:val="24"/>
        </w:rPr>
        <w:t>1. </w:t>
      </w:r>
      <w:r w:rsidRPr="004B0224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4B0224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4B0224">
        <w:rPr>
          <w:rFonts w:ascii="Times New Roman" w:hAnsi="Times New Roman"/>
          <w:color w:val="000000"/>
          <w:sz w:val="24"/>
          <w:szCs w:val="24"/>
        </w:rPr>
        <w:t xml:space="preserve"> повинен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поставити </w:t>
      </w:r>
      <w:r w:rsidR="003222C3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CSB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</w:p>
        </w:tc>
      </w:tr>
      <w:tr w:rsidR="00844556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56" w:rsidRPr="00522D9B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Акумуляторна батарея RAID –контролера DELL PERC H 700 (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DELL R710</w:t>
            </w:r>
            <w:r w:rsidR="00F77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844556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Pr="001001D6" w:rsidRDefault="00844556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56" w:rsidRPr="00522D9B" w:rsidRDefault="00844556" w:rsidP="00C509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DELL R730</w:t>
            </w:r>
            <w:r w:rsidR="00F77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56" w:rsidRDefault="00844556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B4257" w:rsidRPr="0079197D" w:rsidRDefault="009B425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«Акумуляторні батареї»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31440000-2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597839" w:rsidP="00597839">
      <w:pPr>
        <w:pStyle w:val="a7"/>
        <w:numPr>
          <w:ilvl w:val="1"/>
          <w:numId w:val="15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9B42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844556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CSB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Акумуляторна батарея RAID –контролера DELL PERC H 700 (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DELL R710</w:t>
            </w:r>
            <w:r w:rsidR="00F77D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4556" w:rsidRPr="00844556" w:rsidTr="00844556">
        <w:trPr>
          <w:jc w:val="center"/>
        </w:trPr>
        <w:tc>
          <w:tcPr>
            <w:tcW w:w="61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9" w:type="dxa"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mAh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i/>
                <w:sz w:val="24"/>
                <w:szCs w:val="24"/>
              </w:rPr>
              <w:t xml:space="preserve"> DELL R730</w:t>
            </w:r>
            <w:r w:rsidR="00F77D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55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84455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Pr="002F1B72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9B42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257" w:rsidRDefault="009B425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12Вх5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CSB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12Вх7(7.2)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CSB виробництво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Вєтнам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RAID –контролера DELL PERC H 700 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Recharch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3.7V 7Wh Type:FR463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DELL R710</w:t>
            </w:r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56" w:rsidRPr="00844556" w:rsidTr="00D33CC8">
        <w:tc>
          <w:tcPr>
            <w:tcW w:w="568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6" w:type="dxa"/>
            <w:noWrap/>
          </w:tcPr>
          <w:p w:rsidR="00844556" w:rsidRPr="00844556" w:rsidRDefault="00844556" w:rsidP="008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56">
              <w:rPr>
                <w:rFonts w:ascii="Times New Roman" w:hAnsi="Times New Roman"/>
                <w:sz w:val="24"/>
                <w:szCs w:val="24"/>
              </w:rPr>
              <w:t xml:space="preserve">Акумуляторна батарея RAID –контролера DELL PERC H 730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mini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44556" w:rsidRPr="00844556" w:rsidRDefault="00844556" w:rsidP="008445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Lithium-Ion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Battery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3.7V 1.8Wh 500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Type:T40JJ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56">
              <w:rPr>
                <w:rFonts w:ascii="Times New Roman" w:hAnsi="Times New Roman"/>
                <w:sz w:val="24"/>
                <w:szCs w:val="24"/>
              </w:rPr>
              <w:t>server</w:t>
            </w:r>
            <w:proofErr w:type="spellEnd"/>
            <w:r w:rsidRPr="00844556">
              <w:rPr>
                <w:rFonts w:ascii="Times New Roman" w:hAnsi="Times New Roman"/>
                <w:sz w:val="24"/>
                <w:szCs w:val="24"/>
              </w:rPr>
              <w:t xml:space="preserve"> DELL R730</w:t>
            </w:r>
          </w:p>
        </w:tc>
        <w:tc>
          <w:tcPr>
            <w:tcW w:w="1985" w:type="dxa"/>
            <w:noWrap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4556" w:rsidRPr="00844556" w:rsidRDefault="00844556" w:rsidP="00844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bookmarkStart w:id="15" w:name="_GoBack"/>
      <w:bookmarkEnd w:id="15"/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9B4257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257">
      <w:rPr>
        <w:noProof/>
      </w:rPr>
      <w:t>9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22486"/>
    <w:rsid w:val="0082386F"/>
    <w:rsid w:val="00837C5A"/>
    <w:rsid w:val="00844556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B4257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11EF0"/>
    <w:rsid w:val="00C126A4"/>
    <w:rsid w:val="00C16D3C"/>
    <w:rsid w:val="00C265EE"/>
    <w:rsid w:val="00C304D1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76718"/>
    <w:rsid w:val="00D80694"/>
    <w:rsid w:val="00D82F53"/>
    <w:rsid w:val="00D864BB"/>
    <w:rsid w:val="00D93E07"/>
    <w:rsid w:val="00D942E8"/>
    <w:rsid w:val="00D96DE7"/>
    <w:rsid w:val="00D97899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77D78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B034-80ED-453C-A1DD-F94B8C31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15698</Words>
  <Characters>8949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4</cp:revision>
  <dcterms:created xsi:type="dcterms:W3CDTF">2024-01-30T06:17:00Z</dcterms:created>
  <dcterms:modified xsi:type="dcterms:W3CDTF">2024-02-21T10:40:00Z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