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1" w:rsidRDefault="00987FE1" w:rsidP="00987FE1">
      <w:pPr>
        <w:tabs>
          <w:tab w:val="left" w:pos="3336"/>
        </w:tabs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Проект   </w:t>
      </w:r>
    </w:p>
    <w:p w:rsidR="00987FE1" w:rsidRDefault="00987FE1" w:rsidP="00987FE1">
      <w:pPr>
        <w:tabs>
          <w:tab w:val="left" w:pos="3336"/>
        </w:tabs>
        <w:jc w:val="right"/>
        <w:rPr>
          <w:b/>
          <w:lang w:val="uk-UA"/>
        </w:rPr>
      </w:pPr>
    </w:p>
    <w:p w:rsidR="00987FE1" w:rsidRDefault="00987FE1" w:rsidP="00987FE1">
      <w:pPr>
        <w:tabs>
          <w:tab w:val="left" w:pos="3336"/>
        </w:tabs>
        <w:jc w:val="center"/>
        <w:rPr>
          <w:b/>
          <w:i/>
          <w:color w:val="000000"/>
          <w:lang w:val="uk-UA"/>
        </w:rPr>
      </w:pPr>
      <w:bookmarkStart w:id="0" w:name="_GoBack"/>
      <w:r>
        <w:rPr>
          <w:b/>
          <w:lang w:val="uk-UA"/>
        </w:rPr>
        <w:t>ДОГОВІР</w:t>
      </w:r>
      <w:bookmarkEnd w:id="0"/>
      <w:r>
        <w:rPr>
          <w:b/>
          <w:lang w:val="uk-UA"/>
        </w:rPr>
        <w:t xml:space="preserve"> ПРО ЗАКУПІВЛЮ (ПОСТАЧАННЯ)</w:t>
      </w:r>
    </w:p>
    <w:p w:rsidR="00987FE1" w:rsidRDefault="00987FE1" w:rsidP="00987FE1">
      <w:pPr>
        <w:tabs>
          <w:tab w:val="left" w:pos="3336"/>
        </w:tabs>
        <w:rPr>
          <w:b/>
          <w:i/>
          <w:color w:val="000000"/>
          <w:lang w:val="uk-UA"/>
        </w:rPr>
      </w:pPr>
    </w:p>
    <w:p w:rsidR="00987FE1" w:rsidRDefault="00987FE1" w:rsidP="00987FE1">
      <w:pPr>
        <w:rPr>
          <w:lang w:val="uk-UA"/>
        </w:rPr>
      </w:pPr>
      <w:r>
        <w:rPr>
          <w:lang w:val="uk-UA"/>
        </w:rPr>
        <w:t>м. Одеса                                                                                             «___» ________ 202</w:t>
      </w:r>
      <w:r w:rsidR="00893548">
        <w:rPr>
          <w:lang w:val="uk-UA"/>
        </w:rPr>
        <w:t>2</w:t>
      </w:r>
      <w:r>
        <w:rPr>
          <w:lang w:val="uk-UA"/>
        </w:rPr>
        <w:t xml:space="preserve">року </w:t>
      </w:r>
    </w:p>
    <w:p w:rsidR="00987FE1" w:rsidRDefault="00987FE1" w:rsidP="00987FE1">
      <w:pPr>
        <w:rPr>
          <w:lang w:val="uk-UA"/>
        </w:rPr>
      </w:pPr>
      <w:r>
        <w:rPr>
          <w:lang w:val="uk-UA"/>
        </w:rPr>
        <w:t xml:space="preserve">                   </w:t>
      </w:r>
    </w:p>
    <w:tbl>
      <w:tblPr>
        <w:tblW w:w="15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083"/>
        <w:gridCol w:w="1038"/>
        <w:gridCol w:w="1081"/>
        <w:gridCol w:w="1113"/>
        <w:gridCol w:w="976"/>
        <w:gridCol w:w="1008"/>
      </w:tblGrid>
      <w:tr w:rsidR="001426B5" w:rsidRPr="00E93CEA" w:rsidTr="001426B5">
        <w:trPr>
          <w:trHeight w:val="379"/>
        </w:trPr>
        <w:tc>
          <w:tcPr>
            <w:tcW w:w="9498" w:type="dxa"/>
            <w:shd w:val="clear" w:color="auto" w:fill="auto"/>
            <w:noWrap/>
            <w:vAlign w:val="bottom"/>
          </w:tcPr>
          <w:p w:rsidR="001426B5" w:rsidRPr="007E1CB3" w:rsidRDefault="00987FE1" w:rsidP="007E1CB3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lang w:val="uk-UA"/>
              </w:rPr>
              <w:t>КОМУНАЛЬНЕ НЕКОМЕРЦІЙНЕ ПІДПРИЄМСТВО «</w:t>
            </w:r>
            <w:r w:rsidR="001426B5">
              <w:rPr>
                <w:color w:val="000000"/>
                <w:lang w:val="uk-UA"/>
              </w:rPr>
              <w:t>ПОЛОГОВИЙ БУДИНОК</w:t>
            </w:r>
            <w:r w:rsidR="00ED74D8" w:rsidRPr="00ED74D8">
              <w:rPr>
                <w:color w:val="000000"/>
                <w:lang w:val="uk-UA"/>
              </w:rPr>
              <w:t xml:space="preserve"> №</w:t>
            </w:r>
            <w:r w:rsidR="007E1CB3" w:rsidRPr="007E1CB3">
              <w:rPr>
                <w:color w:val="000000"/>
              </w:rPr>
              <w:t>2</w:t>
            </w:r>
            <w:r w:rsidR="00ED74D8" w:rsidRPr="00ED74D8">
              <w:rPr>
                <w:color w:val="000000"/>
                <w:lang w:val="uk-UA"/>
              </w:rPr>
              <w:t>"</w:t>
            </w:r>
            <w:r w:rsidR="00ED74D8">
              <w:rPr>
                <w:color w:val="000000"/>
                <w:lang w:val="uk-UA"/>
              </w:rPr>
              <w:t xml:space="preserve"> Одеської міської ради в особі директора  </w:t>
            </w:r>
            <w:proofErr w:type="spellStart"/>
            <w:r w:rsidR="007E1CB3">
              <w:rPr>
                <w:color w:val="000000"/>
                <w:lang w:val="uk-UA"/>
              </w:rPr>
              <w:t>Голубенко</w:t>
            </w:r>
            <w:proofErr w:type="spellEnd"/>
            <w:r w:rsidR="007E1CB3">
              <w:rPr>
                <w:color w:val="000000"/>
                <w:lang w:val="uk-UA"/>
              </w:rPr>
              <w:t xml:space="preserve"> М Ю.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1426B5" w:rsidRPr="00ED74D8" w:rsidRDefault="001426B5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1426B5" w:rsidRPr="00ED74D8" w:rsidRDefault="001426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1" w:type="dxa"/>
          </w:tcPr>
          <w:p w:rsidR="001426B5" w:rsidRPr="00ED74D8" w:rsidRDefault="001426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1426B5" w:rsidRPr="00ED74D8" w:rsidRDefault="001426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6" w:type="dxa"/>
          </w:tcPr>
          <w:p w:rsidR="001426B5" w:rsidRPr="00ED74D8" w:rsidRDefault="001426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426B5" w:rsidRPr="00ED74D8" w:rsidRDefault="001426B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87FE1" w:rsidRDefault="00987FE1" w:rsidP="00ED74D8">
      <w:pPr>
        <w:ind w:hanging="142"/>
        <w:jc w:val="both"/>
        <w:rPr>
          <w:rFonts w:eastAsia="Calibri"/>
          <w:lang w:val="uk-UA"/>
        </w:rPr>
      </w:pPr>
      <w:r>
        <w:rPr>
          <w:lang w:val="uk-UA"/>
        </w:rPr>
        <w:t xml:space="preserve"> що діє на підставі Статуту </w:t>
      </w:r>
      <w:r>
        <w:rPr>
          <w:rFonts w:eastAsia="Calibri"/>
          <w:lang w:val="uk-UA"/>
        </w:rPr>
        <w:t>(далі «ПОКУПЕЦЬ») з однієї сторони,</w:t>
      </w:r>
      <w:r>
        <w:rPr>
          <w:b/>
          <w:lang w:val="uk-UA"/>
        </w:rPr>
        <w:t xml:space="preserve"> </w:t>
      </w:r>
      <w:r>
        <w:rPr>
          <w:rFonts w:eastAsia="Calibri"/>
          <w:lang w:val="uk-UA"/>
        </w:rPr>
        <w:t>___________________________</w:t>
      </w:r>
      <w:r>
        <w:rPr>
          <w:lang w:val="uk-UA"/>
        </w:rPr>
        <w:t xml:space="preserve">в особі ___________________________, </w:t>
      </w:r>
      <w:r>
        <w:rPr>
          <w:rFonts w:eastAsia="Calibri"/>
          <w:lang w:val="uk-UA"/>
        </w:rPr>
        <w:t>що діє на підставі Статуту, (далі  «ПРОДАВЕЦЬ»), з другої сторони, разом Сторони, уклали цей договір про таке (далі Договір):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I. Предмет договору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>1.1 «ПРОДАВЕЦЬ»  зобов'язується у 20</w:t>
      </w:r>
      <w:r w:rsidR="00155AF9">
        <w:rPr>
          <w:lang w:val="uk-UA"/>
        </w:rPr>
        <w:t>2</w:t>
      </w:r>
      <w:r w:rsidR="004D7225">
        <w:rPr>
          <w:lang w:val="uk-UA"/>
        </w:rPr>
        <w:t>2</w:t>
      </w:r>
      <w:r>
        <w:rPr>
          <w:lang w:val="uk-UA"/>
        </w:rPr>
        <w:t xml:space="preserve"> році поставити «ПОКУПЦЕВІ» товар,  зазначений в специфікації (додаток 1),  а «ПОКУПЕЦЬ» прийняти і сплатити товар.</w:t>
      </w:r>
    </w:p>
    <w:p w:rsidR="00987FE1" w:rsidRDefault="00987FE1" w:rsidP="004D7225">
      <w:pPr>
        <w:jc w:val="both"/>
        <w:rPr>
          <w:lang w:val="uk-UA"/>
        </w:rPr>
      </w:pPr>
      <w:r>
        <w:rPr>
          <w:lang w:val="uk-UA"/>
        </w:rPr>
        <w:t xml:space="preserve">1.2. Найменування товару </w:t>
      </w:r>
      <w:r>
        <w:rPr>
          <w:color w:val="121212"/>
          <w:shd w:val="clear" w:color="auto" w:fill="FAFAFA"/>
          <w:lang w:val="uk-UA"/>
        </w:rPr>
        <w:t xml:space="preserve">за кодом НК України ЄЗС </w:t>
      </w:r>
      <w:r>
        <w:rPr>
          <w:lang w:val="uk-UA"/>
        </w:rPr>
        <w:t>ДК 021:2015 –</w:t>
      </w:r>
      <w:r w:rsidR="004D7225" w:rsidRPr="004D7225">
        <w:rPr>
          <w:lang w:val="uk-UA"/>
        </w:rPr>
        <w:t xml:space="preserve">33190000-8 - Медичне обладнання та вироби медичного призначення різні) (НК 024-2019 62225   Ємність для лабораторного аналізатора ІВД42386 Пробірка вакуумна для взяття зразків крові, з активатором згортання IVD;42585 Пробірка вакуумна для взяття зразків крові, з цитратом натрію, IVD;46237 Нестерильна пробірка;16822 Наконечник піпетки;16822 Наконечник піпетки;38522 - Піпетка механічна;62225   Ємність для лабораторного аналізатора ІВД;  14189 </w:t>
      </w:r>
      <w:proofErr w:type="spellStart"/>
      <w:r w:rsidR="004D7225" w:rsidRPr="004D7225">
        <w:rPr>
          <w:lang w:val="uk-UA"/>
        </w:rPr>
        <w:t>Культуральна</w:t>
      </w:r>
      <w:proofErr w:type="spellEnd"/>
      <w:r w:rsidR="004D7225" w:rsidRPr="004D7225">
        <w:rPr>
          <w:lang w:val="uk-UA"/>
        </w:rPr>
        <w:t xml:space="preserve"> пробірка; 35209 Голка для взяття крові, стандартна ; 12726 Багаторазовий тримач голки; 62225   Ємність для лабораторного аналізатора ІВД)</w:t>
      </w:r>
      <w:r>
        <w:rPr>
          <w:lang w:val="uk-UA"/>
        </w:rPr>
        <w:t>1.3. Обсяги закупівлі товару можуть  бути зменшені  відповідно до ст. 41 Закону України «Про публічні закупівлі».</w:t>
      </w:r>
    </w:p>
    <w:p w:rsidR="00987FE1" w:rsidRDefault="00987FE1" w:rsidP="00987FE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1.4. Кількість товару визначена у додатку № 1, що є невід’ємною частиною цього Договору.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II. Якість товарів, робіт чи послуг</w:t>
      </w:r>
    </w:p>
    <w:p w:rsidR="00987FE1" w:rsidRDefault="00987FE1" w:rsidP="00987FE1">
      <w:pPr>
        <w:ind w:right="51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2.1. «ПРОДАВЕЦЬ» повинен  поставити «ПОКУПЦЕВІ» товари, якість яких відповідає умовам нормативно-технічній документації.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>2.2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III. Ціна договору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>3.1. Ціна цього Договору становить _____________________________________________.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 xml:space="preserve">3.2. Ціна цього  Договору  може  бути  зменшена  за  взаємною згодою Сторін. 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 xml:space="preserve">3.3. Ціна за одиницю товару може змінюватись у відповідності до положень, ст. </w:t>
      </w:r>
      <w:r w:rsidR="00334360">
        <w:rPr>
          <w:lang w:val="uk-UA"/>
        </w:rPr>
        <w:t>41</w:t>
      </w:r>
      <w:r>
        <w:rPr>
          <w:lang w:val="uk-UA"/>
        </w:rPr>
        <w:t xml:space="preserve"> Закону України «Про публічні закупівлі».</w:t>
      </w:r>
    </w:p>
    <w:p w:rsidR="00987FE1" w:rsidRDefault="00987FE1" w:rsidP="00987FE1">
      <w:pPr>
        <w:jc w:val="both"/>
        <w:rPr>
          <w:rStyle w:val="rvts0"/>
        </w:rPr>
      </w:pPr>
      <w:r>
        <w:rPr>
          <w:lang w:val="uk-UA"/>
        </w:rPr>
        <w:t>3.4. Ціна за одиницю товару може змінюватись у</w:t>
      </w:r>
      <w:r>
        <w:rPr>
          <w:rStyle w:val="rvts0"/>
          <w:lang w:val="uk-UA"/>
        </w:rPr>
        <w:t xml:space="preserve"> зв’язку із зміною ставок податків і зборів </w:t>
      </w:r>
      <w:proofErr w:type="spellStart"/>
      <w:r>
        <w:rPr>
          <w:rStyle w:val="rvts0"/>
          <w:lang w:val="uk-UA"/>
        </w:rPr>
        <w:t>пропорційно</w:t>
      </w:r>
      <w:proofErr w:type="spellEnd"/>
      <w:r>
        <w:rPr>
          <w:rStyle w:val="rvts0"/>
          <w:lang w:val="uk-UA"/>
        </w:rPr>
        <w:t xml:space="preserve"> до змін таких ставок.</w:t>
      </w:r>
    </w:p>
    <w:p w:rsidR="00987FE1" w:rsidRDefault="00987FE1" w:rsidP="00987FE1">
      <w:pPr>
        <w:jc w:val="center"/>
      </w:pPr>
      <w:r>
        <w:rPr>
          <w:b/>
          <w:lang w:val="uk-UA"/>
        </w:rPr>
        <w:t>IV. Порядок здійснення оплати</w:t>
      </w:r>
    </w:p>
    <w:p w:rsidR="00987FE1" w:rsidRDefault="00987FE1" w:rsidP="00987FE1">
      <w:pPr>
        <w:tabs>
          <w:tab w:val="left" w:pos="-709"/>
        </w:tabs>
        <w:ind w:right="-75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4.1. Розрахунки проводяться шляхом безготівкового перерахування коштів «ПОКУПЦЕМ» на банківський рахунок «ПРОДАВЦЯ» за фактично надані товари на підставі накладної або видаткової накладної, яку «ПРОДАВЕЦЬ» надає «ПОКУПЦЮ».</w:t>
      </w:r>
    </w:p>
    <w:p w:rsidR="00987FE1" w:rsidRDefault="00987FE1" w:rsidP="00987FE1">
      <w:pPr>
        <w:tabs>
          <w:tab w:val="left" w:pos="-709"/>
        </w:tabs>
        <w:ind w:right="-75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4.2. «ПОКУПЕЦЬ» сплачує «ПРОДАВЦЮ» кошти за накладною або видатковою накладною на протязі 10-ти банківських днів після поставки товару на адресу «ПОКУПЦЯ».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V. Поставка товарів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>5.1. Строк поставки товару –  на протязі 1 (одного) днів з моменту здійснення замовлення.</w:t>
      </w:r>
    </w:p>
    <w:p w:rsidR="007E1CB3" w:rsidRDefault="00987FE1" w:rsidP="00987FE1">
      <w:pPr>
        <w:jc w:val="both"/>
        <w:rPr>
          <w:color w:val="000000"/>
          <w:shd w:val="clear" w:color="auto" w:fill="FDFEFD"/>
        </w:rPr>
      </w:pPr>
      <w:r>
        <w:rPr>
          <w:lang w:val="uk-UA"/>
        </w:rPr>
        <w:t xml:space="preserve">5.2. Місце  поставки  (передачі) товарів –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1426B5" w:rsidRPr="001426B5">
        <w:rPr>
          <w:color w:val="000000"/>
          <w:shd w:val="clear" w:color="auto" w:fill="FDFEFD"/>
          <w:lang w:val="uk-UA"/>
        </w:rPr>
        <w:t xml:space="preserve"> </w:t>
      </w:r>
      <w:r w:rsidR="001426B5">
        <w:rPr>
          <w:color w:val="000000"/>
          <w:shd w:val="clear" w:color="auto" w:fill="FDFEFD"/>
          <w:lang w:val="uk-UA"/>
        </w:rPr>
        <w:t>650</w:t>
      </w:r>
      <w:r w:rsidR="007E1CB3">
        <w:rPr>
          <w:color w:val="000000"/>
          <w:shd w:val="clear" w:color="auto" w:fill="FDFEFD"/>
          <w:lang w:val="uk-UA"/>
        </w:rPr>
        <w:t>2</w:t>
      </w:r>
      <w:r w:rsidR="001426B5">
        <w:rPr>
          <w:color w:val="000000"/>
          <w:shd w:val="clear" w:color="auto" w:fill="FDFEFD"/>
          <w:lang w:val="uk-UA"/>
        </w:rPr>
        <w:t>3</w:t>
      </w:r>
      <w:r>
        <w:rPr>
          <w:lang w:val="uk-UA"/>
        </w:rPr>
        <w:t xml:space="preserve"> </w:t>
      </w:r>
      <w:r w:rsidR="001426B5" w:rsidRPr="001426B5">
        <w:rPr>
          <w:color w:val="000000"/>
          <w:shd w:val="clear" w:color="auto" w:fill="FDFEFD"/>
        </w:rPr>
        <w:t xml:space="preserve">Одеса, </w:t>
      </w:r>
      <w:r w:rsidR="007E1CB3" w:rsidRPr="007E1CB3">
        <w:rPr>
          <w:color w:val="000000"/>
          <w:shd w:val="clear" w:color="auto" w:fill="FDFEFD"/>
        </w:rPr>
        <w:t xml:space="preserve">ВУЛИЦЯ СТАРОПОРТОФРАНКІВСЬКА, </w:t>
      </w:r>
      <w:proofErr w:type="spellStart"/>
      <w:r w:rsidR="007E1CB3" w:rsidRPr="007E1CB3">
        <w:rPr>
          <w:color w:val="000000"/>
          <w:shd w:val="clear" w:color="auto" w:fill="FDFEFD"/>
        </w:rPr>
        <w:t>будинок</w:t>
      </w:r>
      <w:proofErr w:type="spellEnd"/>
      <w:r w:rsidR="007E1CB3" w:rsidRPr="007E1CB3">
        <w:rPr>
          <w:color w:val="000000"/>
          <w:shd w:val="clear" w:color="auto" w:fill="FDFEFD"/>
        </w:rPr>
        <w:t xml:space="preserve"> 24</w:t>
      </w:r>
    </w:p>
    <w:p w:rsidR="00987FE1" w:rsidRDefault="00987FE1" w:rsidP="00987FE1">
      <w:pPr>
        <w:jc w:val="both"/>
        <w:rPr>
          <w:lang w:val="uk-UA"/>
        </w:rPr>
      </w:pPr>
      <w:r>
        <w:rPr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VI. Права та обов'язки сторін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u w:val="single"/>
          <w:lang w:val="uk-UA"/>
        </w:rPr>
      </w:pPr>
      <w:r>
        <w:rPr>
          <w:rFonts w:eastAsia="Calibri"/>
          <w:u w:val="single"/>
          <w:lang w:val="uk-UA"/>
        </w:rPr>
        <w:t>6.1. «ПОКУПЕЦЬ» зобов'язаний: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6.1.1. Своєчасно та в повному обсязі сплачувати за поставлені товари;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6.1.2. Приймати   поставлені   товари  згідно з накладною або видатковою накладною;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u w:val="single"/>
          <w:lang w:val="uk-UA"/>
        </w:rPr>
      </w:pPr>
      <w:r>
        <w:rPr>
          <w:rFonts w:eastAsia="Calibri"/>
          <w:u w:val="single"/>
          <w:lang w:val="uk-UA"/>
        </w:rPr>
        <w:t>6.2. «ПОКУПЕЦЬ» має право: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6.2.1. Достроково розірвати цей договір у разі невиконання зобов’язань «ПРОД</w:t>
      </w:r>
      <w:r w:rsidR="001426B5">
        <w:rPr>
          <w:rFonts w:eastAsia="Calibri"/>
          <w:lang w:val="uk-UA"/>
        </w:rPr>
        <w:t>А</w:t>
      </w:r>
      <w:r>
        <w:rPr>
          <w:rFonts w:eastAsia="Calibri"/>
          <w:lang w:val="uk-UA"/>
        </w:rPr>
        <w:t>ВЦЕМ», повідомивши його у строк 5 (п’ять) робочих днів;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6.2.2. Контролювати поставку товарів у строки, встановлені цим Договором;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6.2.3. Зменшувати обсяг закупівлі товарів та загальну вартість цього Договору залежно до ст. 36 Закону України «Про публічні закупівлі» У такому разі Сторони вносять відповідні зміни до цього договору;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6.2.4. Повернути накладну або видаткову накладну «ПРОДАВЦЮ» без здійснення оплати в разі неналежного оформлення документів, вказаних у п. 4.2. цього Договору (відсутність печатки, підписів, тощо);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u w:val="single"/>
          <w:lang w:val="uk-UA"/>
        </w:rPr>
      </w:pPr>
      <w:r>
        <w:rPr>
          <w:rFonts w:eastAsia="Calibri"/>
          <w:u w:val="single"/>
          <w:lang w:val="uk-UA"/>
        </w:rPr>
        <w:t>6.3. «ПРОДАВЕЦЬ» зобов'язаний: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6.3.1.  Забезпечити  поставку товарів у строки, встановлені цим Договором;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6.3.2. Забезпечити  поставку  товарів,  якість  яких  відповідає  умовам,  установленим розділом II цього Договору.</w:t>
      </w:r>
    </w:p>
    <w:p w:rsidR="00987FE1" w:rsidRDefault="00987FE1" w:rsidP="00987FE1">
      <w:pPr>
        <w:tabs>
          <w:tab w:val="left" w:pos="-709"/>
        </w:tabs>
        <w:ind w:right="67"/>
        <w:rPr>
          <w:rFonts w:eastAsia="Calibri"/>
          <w:u w:val="single"/>
          <w:lang w:val="uk-UA"/>
        </w:rPr>
      </w:pPr>
      <w:r>
        <w:rPr>
          <w:rFonts w:eastAsia="Calibri"/>
          <w:u w:val="single"/>
          <w:lang w:val="uk-UA"/>
        </w:rPr>
        <w:t>6.4. «ПРОДАВЕЦЬ» має право:</w:t>
      </w:r>
    </w:p>
    <w:p w:rsidR="00987FE1" w:rsidRDefault="00987FE1" w:rsidP="00987FE1">
      <w:pPr>
        <w:tabs>
          <w:tab w:val="left" w:pos="-709"/>
        </w:tabs>
        <w:ind w:right="67"/>
        <w:rPr>
          <w:rFonts w:eastAsia="Calibri"/>
          <w:lang w:val="uk-UA"/>
        </w:rPr>
      </w:pPr>
      <w:r>
        <w:rPr>
          <w:rFonts w:eastAsia="Calibri"/>
          <w:lang w:val="uk-UA"/>
        </w:rPr>
        <w:t>6.4.1. Своєчасно та в  повному  обсязі  отримувати  плату  за поставлені товари;</w:t>
      </w:r>
    </w:p>
    <w:p w:rsidR="00987FE1" w:rsidRDefault="00987FE1" w:rsidP="00987FE1">
      <w:pPr>
        <w:tabs>
          <w:tab w:val="left" w:pos="-709"/>
        </w:tabs>
        <w:ind w:right="67"/>
        <w:rPr>
          <w:rFonts w:eastAsia="Calibri"/>
          <w:lang w:val="uk-UA"/>
        </w:rPr>
      </w:pPr>
      <w:r>
        <w:rPr>
          <w:rFonts w:eastAsia="Calibri"/>
          <w:lang w:val="uk-UA"/>
        </w:rPr>
        <w:t>6.4.2. На дострокову поставку товарів за письмовим погодженням «ПОКУПЦЯ»;</w:t>
      </w:r>
    </w:p>
    <w:p w:rsidR="00987FE1" w:rsidRDefault="00987FE1" w:rsidP="00987FE1">
      <w:pPr>
        <w:tabs>
          <w:tab w:val="left" w:pos="-709"/>
        </w:tabs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6.4.3. У разі невиконання зобов'язань «ПОКУПЦЕМ» «ПРОДАВЕЦЬ» має право   достроково  розірвати  цей  Договір,  повідомивши  «ПОКУПЦЯ» про  це  у строк 5 (п’ять) робочих днів.</w:t>
      </w:r>
    </w:p>
    <w:p w:rsidR="00987FE1" w:rsidRDefault="00987FE1" w:rsidP="00987FE1">
      <w:pPr>
        <w:jc w:val="center"/>
        <w:rPr>
          <w:b/>
          <w:lang w:val="uk-UA"/>
        </w:rPr>
      </w:pPr>
      <w:r>
        <w:rPr>
          <w:b/>
          <w:lang w:val="uk-UA"/>
        </w:rPr>
        <w:t>VII. Відповідальність сторін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 «ПРОДАВЕЦЬ» повинен сплатити «ПОКУПЦЮ» штраф у розмірі 1 (один) відсоток від вартості несвоєчасно поставлених товарів за кожен день прострочення, включаючи день фактичного виконання зобов’язань за Договором. Кошти, отримані від сплати штрафу, зараховуються до доходів загального фонду бюджету м. Одеси.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7.3. Види порушень та санкції за них, установлені Договором.</w:t>
      </w:r>
    </w:p>
    <w:p w:rsidR="00987FE1" w:rsidRDefault="00987FE1" w:rsidP="00987FE1">
      <w:pPr>
        <w:ind w:right="67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VIII. Обставини непереборної сили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3 (трьох) робочих  днів  з  моменту  їх   виникнення повідомити про це іншу Сторону у письмовій формі.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8.4. У  разі  коли  строк  дії  обставин  непереборної   сили продовжується більше ніж 60 (шістдесят) днів, кожна із Сторін в установленому порядку має право розірвати цей Договір. </w:t>
      </w:r>
    </w:p>
    <w:p w:rsidR="00987FE1" w:rsidRDefault="00987FE1" w:rsidP="00987FE1">
      <w:pPr>
        <w:ind w:right="67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IX. Вирішення спорів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9.2. У разі недосягнення Сторонами згоди спори  (розбіжності) вирішуються у судовому порядку.</w:t>
      </w:r>
    </w:p>
    <w:p w:rsidR="00987FE1" w:rsidRDefault="00987FE1" w:rsidP="00987FE1">
      <w:pPr>
        <w:ind w:right="67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X. Строк дії договору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>10.1 Цей Договір набирає чинності з моменту підписання і діє до 31 грудня 202</w:t>
      </w:r>
      <w:r w:rsidR="004D7225">
        <w:rPr>
          <w:rFonts w:eastAsia="Calibri"/>
          <w:lang w:val="uk-UA"/>
        </w:rPr>
        <w:t>2</w:t>
      </w:r>
      <w:r>
        <w:rPr>
          <w:rFonts w:eastAsia="Calibri"/>
          <w:lang w:val="uk-UA"/>
        </w:rPr>
        <w:t xml:space="preserve"> року та до повного виконання Сторонами своїх зобов'язань. 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10.2. Строк дії цього Договору може бути продовжено відповідно до ст. </w:t>
      </w:r>
      <w:r w:rsidR="00334360">
        <w:rPr>
          <w:rFonts w:eastAsia="Calibri"/>
          <w:lang w:val="uk-UA"/>
        </w:rPr>
        <w:t>41</w:t>
      </w:r>
      <w:r>
        <w:rPr>
          <w:rFonts w:eastAsia="Calibri"/>
          <w:lang w:val="uk-UA"/>
        </w:rPr>
        <w:t xml:space="preserve"> Закону України «Про публічні закупівлі»,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у встановленому порядку.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10.3. Цей   Договір   укладається   і   підписується   у 2 (двох) примірниках, що мають однакову юридичну силу.</w:t>
      </w:r>
    </w:p>
    <w:p w:rsidR="00987FE1" w:rsidRDefault="00987FE1" w:rsidP="00987FE1">
      <w:pPr>
        <w:ind w:right="67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XI. Інші умови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11.1.Усі доповнення до Договору складаються у письмовій формі, підписуються сторонами і є чинними протягом усього терміну дії Договору, якщо  інше не передбачене умовами доповнення або чинним законодавством.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11.2. У випадку змін юридичних адрес, номеру розрахункового рахунку, місцезнаходження, інших реквізитів Сторони зобов’язані у десятиденний термін повідомить один  одного про зміни, що сталися. </w:t>
      </w:r>
    </w:p>
    <w:p w:rsidR="00987FE1" w:rsidRDefault="00987FE1" w:rsidP="00987FE1">
      <w:pPr>
        <w:ind w:right="67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XII. Додатки до договору</w:t>
      </w:r>
    </w:p>
    <w:p w:rsidR="00987FE1" w:rsidRDefault="00987FE1" w:rsidP="00987FE1">
      <w:pPr>
        <w:ind w:right="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 кожного найменування товару.</w:t>
      </w:r>
    </w:p>
    <w:p w:rsidR="00987FE1" w:rsidRDefault="00987FE1" w:rsidP="00987FE1">
      <w:pPr>
        <w:ind w:left="510" w:right="510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XIII. Місцезнаходження та банківські</w:t>
      </w:r>
    </w:p>
    <w:p w:rsidR="00987FE1" w:rsidRDefault="00987FE1" w:rsidP="00987FE1">
      <w:pPr>
        <w:ind w:left="510" w:right="510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реквізити сторін</w:t>
      </w:r>
    </w:p>
    <w:tbl>
      <w:tblPr>
        <w:tblW w:w="94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545"/>
      </w:tblGrid>
      <w:tr w:rsidR="00987FE1" w:rsidTr="001426B5">
        <w:tc>
          <w:tcPr>
            <w:tcW w:w="3936" w:type="dxa"/>
          </w:tcPr>
          <w:p w:rsidR="00987FE1" w:rsidRDefault="00987FE1">
            <w:pPr>
              <w:tabs>
                <w:tab w:val="left" w:pos="2835"/>
              </w:tabs>
              <w:ind w:right="510"/>
              <w:jc w:val="center"/>
              <w:rPr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«ПОКУПЕЦЬ»</w:t>
            </w:r>
          </w:p>
          <w:p w:rsidR="00987FE1" w:rsidRDefault="00987FE1">
            <w:pPr>
              <w:tabs>
                <w:tab w:val="left" w:pos="2835"/>
              </w:tabs>
              <w:ind w:right="510"/>
              <w:jc w:val="center"/>
              <w:rPr>
                <w:bCs/>
                <w:color w:val="000000"/>
                <w:lang w:val="uk-UA"/>
              </w:rPr>
            </w:pPr>
          </w:p>
          <w:p w:rsidR="00173FE6" w:rsidRPr="00953397" w:rsidRDefault="00173FE6" w:rsidP="00173FE6">
            <w:pPr>
              <w:tabs>
                <w:tab w:val="left" w:pos="0"/>
                <w:tab w:val="left" w:pos="9073"/>
              </w:tabs>
              <w:ind w:right="16"/>
              <w:jc w:val="both"/>
              <w:rPr>
                <w:lang w:eastAsia="en-US"/>
              </w:rPr>
            </w:pPr>
            <w:r w:rsidRPr="00173FE6">
              <w:rPr>
                <w:lang w:val="en-US" w:eastAsia="en-US"/>
              </w:rPr>
              <w:t> </w:t>
            </w:r>
          </w:p>
          <w:p w:rsidR="001426B5" w:rsidRDefault="001426B5" w:rsidP="001426B5">
            <w:pPr>
              <w:tabs>
                <w:tab w:val="left" w:pos="2835"/>
              </w:tabs>
              <w:ind w:right="510"/>
            </w:pPr>
            <w:r>
              <w:t>КНП «ПОЛОГОВИИ БУДИНОК№</w:t>
            </w:r>
            <w:r w:rsidR="007E1CB3">
              <w:rPr>
                <w:lang w:val="uk-UA"/>
              </w:rPr>
              <w:t>2</w:t>
            </w:r>
            <w:r>
              <w:t>» ОМР 650</w:t>
            </w:r>
            <w:r w:rsidR="007E1CB3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>
              <w:t xml:space="preserve">, м. Одеса, </w:t>
            </w:r>
            <w:r w:rsidR="007E1CB3" w:rsidRPr="007E1CB3">
              <w:t xml:space="preserve">ВУЛИЦЯ СТАРОПОРТОФРАНКІВСЬКА, </w:t>
            </w:r>
            <w:proofErr w:type="spellStart"/>
            <w:r w:rsidR="007E1CB3" w:rsidRPr="007E1CB3">
              <w:t>будинок</w:t>
            </w:r>
            <w:proofErr w:type="spellEnd"/>
            <w:r w:rsidR="007E1CB3" w:rsidRPr="007E1CB3">
              <w:t xml:space="preserve"> 24</w:t>
            </w:r>
          </w:p>
          <w:p w:rsidR="00473C17" w:rsidRDefault="001426B5" w:rsidP="001426B5">
            <w:pPr>
              <w:tabs>
                <w:tab w:val="left" w:pos="2835"/>
              </w:tabs>
              <w:ind w:right="510"/>
              <w:rPr>
                <w:lang w:val="uk-UA"/>
              </w:rPr>
            </w:pPr>
            <w:r>
              <w:t xml:space="preserve"> Код ЄДРПОУ: </w:t>
            </w:r>
            <w:r w:rsidR="00473C17">
              <w:rPr>
                <w:lang w:val="uk-UA"/>
              </w:rPr>
              <w:t xml:space="preserve">           </w:t>
            </w:r>
          </w:p>
          <w:p w:rsidR="00ED74D8" w:rsidRDefault="001426B5" w:rsidP="00473C17">
            <w:pPr>
              <w:tabs>
                <w:tab w:val="left" w:pos="2835"/>
              </w:tabs>
              <w:ind w:right="510"/>
              <w:rPr>
                <w:lang w:val="uk-UA"/>
              </w:rPr>
            </w:pPr>
            <w:r>
              <w:t xml:space="preserve"> р/р </w:t>
            </w:r>
            <w:r w:rsidR="00473C17">
              <w:rPr>
                <w:lang w:val="uk-UA"/>
              </w:rPr>
              <w:t>__________________________</w:t>
            </w:r>
          </w:p>
          <w:p w:rsidR="00473C17" w:rsidRDefault="00473C17" w:rsidP="00473C17">
            <w:pPr>
              <w:tabs>
                <w:tab w:val="left" w:pos="2835"/>
              </w:tabs>
              <w:ind w:right="510"/>
              <w:rPr>
                <w:b/>
                <w:bCs/>
                <w:color w:val="000000"/>
                <w:lang w:val="uk-UA"/>
              </w:rPr>
            </w:pPr>
          </w:p>
          <w:p w:rsidR="00ED74D8" w:rsidRPr="00ED74D8" w:rsidRDefault="00ED74D8" w:rsidP="00ED74D8">
            <w:pPr>
              <w:rPr>
                <w:lang w:val="uk-UA"/>
              </w:rPr>
            </w:pPr>
          </w:p>
          <w:p w:rsidR="00ED74D8" w:rsidRDefault="001426B5" w:rsidP="00ED74D8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1426B5" w:rsidRDefault="001426B5" w:rsidP="00ED74D8">
            <w:pPr>
              <w:rPr>
                <w:lang w:val="uk-UA"/>
              </w:rPr>
            </w:pPr>
          </w:p>
          <w:p w:rsidR="001426B5" w:rsidRDefault="001426B5" w:rsidP="00ED74D8">
            <w:pPr>
              <w:rPr>
                <w:lang w:val="uk-UA"/>
              </w:rPr>
            </w:pPr>
          </w:p>
          <w:p w:rsidR="001426B5" w:rsidRDefault="001426B5" w:rsidP="00ED74D8">
            <w:pPr>
              <w:rPr>
                <w:lang w:val="uk-UA"/>
              </w:rPr>
            </w:pPr>
            <w:r>
              <w:rPr>
                <w:lang w:val="uk-UA"/>
              </w:rPr>
              <w:t>________</w:t>
            </w:r>
            <w:proofErr w:type="spellStart"/>
            <w:r w:rsidR="00473C17">
              <w:rPr>
                <w:lang w:val="uk-UA"/>
              </w:rPr>
              <w:t>Голубенко</w:t>
            </w:r>
            <w:proofErr w:type="spellEnd"/>
            <w:r w:rsidR="00473C17">
              <w:rPr>
                <w:lang w:val="uk-UA"/>
              </w:rPr>
              <w:t xml:space="preserve"> М Ю</w:t>
            </w:r>
            <w:r>
              <w:rPr>
                <w:lang w:val="uk-UA"/>
              </w:rPr>
              <w:t xml:space="preserve"> </w:t>
            </w:r>
          </w:p>
          <w:tbl>
            <w:tblPr>
              <w:tblW w:w="5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0"/>
              <w:gridCol w:w="1005"/>
              <w:gridCol w:w="1035"/>
              <w:gridCol w:w="990"/>
              <w:gridCol w:w="1065"/>
            </w:tblGrid>
            <w:tr w:rsidR="00173FE6" w:rsidRPr="00ED74D8" w:rsidTr="00173FE6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ED74D8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ED74D8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ED74D8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ED74D8" w:rsidRDefault="00173FE6" w:rsidP="00ED74D8">
                  <w:pPr>
                    <w:rPr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ED74D8" w:rsidRDefault="00173FE6" w:rsidP="00ED74D8">
                  <w:pPr>
                    <w:rPr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405"/>
              </w:trPr>
              <w:tc>
                <w:tcPr>
                  <w:tcW w:w="1035" w:type="dxa"/>
                  <w:gridSpan w:val="2"/>
                </w:tcPr>
                <w:p w:rsidR="00173FE6" w:rsidRPr="00ED74D8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95" w:type="dxa"/>
                  <w:gridSpan w:val="4"/>
                  <w:shd w:val="clear" w:color="auto" w:fill="auto"/>
                </w:tcPr>
                <w:p w:rsidR="00173FE6" w:rsidRPr="00ED74D8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450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73FE6" w:rsidRPr="00ED74D8" w:rsidTr="00173FE6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173FE6" w:rsidRPr="00953397" w:rsidRDefault="00173FE6" w:rsidP="00ED74D8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87FE1" w:rsidRPr="00ED74D8" w:rsidRDefault="00987FE1" w:rsidP="00ED74D8">
            <w:pPr>
              <w:ind w:left="-956" w:right="-856"/>
              <w:rPr>
                <w:lang w:val="uk-UA"/>
              </w:rPr>
            </w:pPr>
          </w:p>
        </w:tc>
        <w:tc>
          <w:tcPr>
            <w:tcW w:w="1984" w:type="dxa"/>
          </w:tcPr>
          <w:p w:rsidR="00987FE1" w:rsidRDefault="00987FE1">
            <w:pPr>
              <w:ind w:left="510" w:right="510"/>
              <w:jc w:val="center"/>
              <w:rPr>
                <w:rFonts w:eastAsia="Calibri"/>
                <w:b/>
                <w:lang w:val="uk-UA"/>
              </w:rPr>
            </w:pPr>
          </w:p>
          <w:p w:rsidR="00987FE1" w:rsidRDefault="00987FE1">
            <w:pPr>
              <w:ind w:right="510"/>
              <w:rPr>
                <w:b/>
                <w:lang w:val="uk-UA"/>
              </w:rPr>
            </w:pPr>
          </w:p>
          <w:p w:rsidR="00987FE1" w:rsidRDefault="00987FE1">
            <w:pPr>
              <w:ind w:right="510"/>
              <w:rPr>
                <w:rFonts w:eastAsia="Calibri"/>
                <w:b/>
                <w:lang w:val="uk-UA"/>
              </w:rPr>
            </w:pPr>
          </w:p>
        </w:tc>
        <w:tc>
          <w:tcPr>
            <w:tcW w:w="3545" w:type="dxa"/>
          </w:tcPr>
          <w:p w:rsidR="00987FE1" w:rsidRDefault="00987FE1">
            <w:pPr>
              <w:ind w:left="510" w:right="510"/>
              <w:jc w:val="center"/>
              <w:rPr>
                <w:b/>
                <w:lang w:val="uk-UA"/>
              </w:rPr>
            </w:pPr>
          </w:p>
          <w:p w:rsidR="00987FE1" w:rsidRDefault="00987FE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«ПРОДАВЕЦЬ»</w:t>
            </w: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right="510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987FE1" w:rsidRDefault="00987FE1">
            <w:pPr>
              <w:ind w:right="510"/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</w:t>
            </w:r>
          </w:p>
          <w:p w:rsidR="00987FE1" w:rsidRDefault="00987FE1">
            <w:pPr>
              <w:ind w:left="510" w:right="510"/>
              <w:jc w:val="right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                </w:t>
            </w:r>
          </w:p>
        </w:tc>
      </w:tr>
    </w:tbl>
    <w:p w:rsidR="005D27B9" w:rsidRDefault="005D27B9"/>
    <w:p w:rsidR="00C30444" w:rsidRDefault="00C30444"/>
    <w:p w:rsidR="00C30444" w:rsidRDefault="00C30444"/>
    <w:p w:rsidR="00C30444" w:rsidRDefault="00C30444"/>
    <w:p w:rsidR="00C30444" w:rsidRDefault="00C30444"/>
    <w:p w:rsidR="00C30444" w:rsidRDefault="00C30444"/>
    <w:p w:rsidR="00473C17" w:rsidRDefault="00473C17"/>
    <w:p w:rsidR="00473C17" w:rsidRDefault="00473C17"/>
    <w:p w:rsidR="00C30444" w:rsidRDefault="00C30444"/>
    <w:p w:rsidR="00C30444" w:rsidRDefault="00C304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Додаток 1</w:t>
      </w:r>
    </w:p>
    <w:p w:rsidR="00C30444" w:rsidRDefault="00C304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 договору №_____від____________</w:t>
      </w:r>
    </w:p>
    <w:p w:rsidR="00C30444" w:rsidRDefault="00C30444">
      <w:pPr>
        <w:rPr>
          <w:lang w:val="uk-UA"/>
        </w:rPr>
      </w:pPr>
    </w:p>
    <w:p w:rsidR="00C30444" w:rsidRDefault="00C30444">
      <w:pPr>
        <w:rPr>
          <w:lang w:val="uk-UA"/>
        </w:rPr>
      </w:pPr>
    </w:p>
    <w:p w:rsidR="00C30444" w:rsidRDefault="00C30444">
      <w:pPr>
        <w:rPr>
          <w:lang w:val="uk-UA"/>
        </w:rPr>
      </w:pPr>
    </w:p>
    <w:p w:rsidR="00C30444" w:rsidRDefault="00C30444">
      <w:pPr>
        <w:rPr>
          <w:lang w:val="uk-UA"/>
        </w:rPr>
      </w:pPr>
      <w:r>
        <w:rPr>
          <w:lang w:val="uk-UA"/>
        </w:rPr>
        <w:t xml:space="preserve">                                                     СПЕЦИФІКАЦІЯ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C30444" w:rsidTr="00C30444">
        <w:tc>
          <w:tcPr>
            <w:tcW w:w="704" w:type="dxa"/>
          </w:tcPr>
          <w:p w:rsidR="00C30444" w:rsidRDefault="00C304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034" w:type="dxa"/>
          </w:tcPr>
          <w:p w:rsidR="00C30444" w:rsidRDefault="00C30444">
            <w:pPr>
              <w:rPr>
                <w:lang w:val="uk-UA"/>
              </w:rPr>
            </w:pPr>
            <w:r>
              <w:rPr>
                <w:lang w:val="uk-UA"/>
              </w:rPr>
              <w:t>Назва товару</w:t>
            </w:r>
          </w:p>
        </w:tc>
        <w:tc>
          <w:tcPr>
            <w:tcW w:w="1869" w:type="dxa"/>
          </w:tcPr>
          <w:p w:rsidR="00C30444" w:rsidRDefault="00C30444">
            <w:pPr>
              <w:rPr>
                <w:lang w:val="uk-UA"/>
              </w:rPr>
            </w:pPr>
            <w:r>
              <w:rPr>
                <w:lang w:val="uk-UA"/>
              </w:rPr>
              <w:t>Ціна без ПДВ</w:t>
            </w:r>
          </w:p>
        </w:tc>
        <w:tc>
          <w:tcPr>
            <w:tcW w:w="1869" w:type="dxa"/>
          </w:tcPr>
          <w:p w:rsidR="00C30444" w:rsidRDefault="00C30444" w:rsidP="00C30444">
            <w:pPr>
              <w:rPr>
                <w:lang w:val="uk-UA"/>
              </w:rPr>
            </w:pPr>
            <w:r>
              <w:rPr>
                <w:lang w:val="uk-UA"/>
              </w:rPr>
              <w:t>Ціна  з ПДВ</w:t>
            </w:r>
          </w:p>
        </w:tc>
        <w:tc>
          <w:tcPr>
            <w:tcW w:w="1869" w:type="dxa"/>
          </w:tcPr>
          <w:p w:rsidR="00C30444" w:rsidRDefault="00C30444">
            <w:pPr>
              <w:rPr>
                <w:lang w:val="uk-UA"/>
              </w:rPr>
            </w:pPr>
            <w:r>
              <w:rPr>
                <w:lang w:val="uk-UA"/>
              </w:rPr>
              <w:t>Сума з ПДВ</w:t>
            </w:r>
          </w:p>
        </w:tc>
      </w:tr>
      <w:tr w:rsidR="00C30444" w:rsidTr="00C30444">
        <w:tc>
          <w:tcPr>
            <w:tcW w:w="704" w:type="dxa"/>
          </w:tcPr>
          <w:p w:rsidR="00C30444" w:rsidRDefault="00C30444">
            <w:pPr>
              <w:rPr>
                <w:lang w:val="uk-UA"/>
              </w:rPr>
            </w:pPr>
          </w:p>
        </w:tc>
        <w:tc>
          <w:tcPr>
            <w:tcW w:w="3034" w:type="dxa"/>
          </w:tcPr>
          <w:p w:rsidR="00C30444" w:rsidRDefault="00C30444">
            <w:pPr>
              <w:rPr>
                <w:lang w:val="uk-UA"/>
              </w:rPr>
            </w:pPr>
          </w:p>
        </w:tc>
        <w:tc>
          <w:tcPr>
            <w:tcW w:w="1869" w:type="dxa"/>
          </w:tcPr>
          <w:p w:rsidR="00C30444" w:rsidRDefault="00C30444">
            <w:pPr>
              <w:rPr>
                <w:lang w:val="uk-UA"/>
              </w:rPr>
            </w:pPr>
          </w:p>
        </w:tc>
        <w:tc>
          <w:tcPr>
            <w:tcW w:w="1869" w:type="dxa"/>
          </w:tcPr>
          <w:p w:rsidR="00C30444" w:rsidRDefault="00C30444">
            <w:pPr>
              <w:rPr>
                <w:lang w:val="uk-UA"/>
              </w:rPr>
            </w:pPr>
          </w:p>
        </w:tc>
        <w:tc>
          <w:tcPr>
            <w:tcW w:w="1869" w:type="dxa"/>
          </w:tcPr>
          <w:p w:rsidR="00C30444" w:rsidRDefault="00C30444">
            <w:pPr>
              <w:rPr>
                <w:lang w:val="uk-UA"/>
              </w:rPr>
            </w:pPr>
          </w:p>
        </w:tc>
      </w:tr>
    </w:tbl>
    <w:p w:rsidR="00C30444" w:rsidRPr="00C30444" w:rsidRDefault="00C30444">
      <w:pPr>
        <w:rPr>
          <w:lang w:val="uk-UA"/>
        </w:rPr>
      </w:pPr>
      <w:r>
        <w:rPr>
          <w:lang w:val="uk-UA"/>
        </w:rPr>
        <w:t>Разом_________________</w:t>
      </w:r>
    </w:p>
    <w:p w:rsidR="00C30444" w:rsidRDefault="00C30444"/>
    <w:p w:rsidR="00C30444" w:rsidRPr="00C30444" w:rsidRDefault="00C30444" w:rsidP="00C30444"/>
    <w:p w:rsidR="00C30444" w:rsidRPr="00C30444" w:rsidRDefault="00C30444" w:rsidP="00C30444"/>
    <w:p w:rsidR="00C30444" w:rsidRPr="00C30444" w:rsidRDefault="00C30444" w:rsidP="00C30444"/>
    <w:p w:rsidR="00C30444" w:rsidRDefault="00C30444" w:rsidP="00C30444"/>
    <w:p w:rsidR="00C30444" w:rsidRDefault="00C30444" w:rsidP="00C30444">
      <w:pPr>
        <w:tabs>
          <w:tab w:val="left" w:pos="1257"/>
        </w:tabs>
      </w:pPr>
      <w:r>
        <w:tab/>
      </w:r>
    </w:p>
    <w:tbl>
      <w:tblPr>
        <w:tblW w:w="94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545"/>
      </w:tblGrid>
      <w:tr w:rsidR="00C30444" w:rsidTr="003E35ED">
        <w:tc>
          <w:tcPr>
            <w:tcW w:w="3936" w:type="dxa"/>
          </w:tcPr>
          <w:p w:rsidR="00C30444" w:rsidRDefault="00C30444" w:rsidP="003E35ED">
            <w:pPr>
              <w:tabs>
                <w:tab w:val="left" w:pos="2835"/>
              </w:tabs>
              <w:ind w:right="510"/>
              <w:jc w:val="center"/>
              <w:rPr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>«ПОКУПЕЦЬ»</w:t>
            </w:r>
          </w:p>
          <w:p w:rsidR="00C30444" w:rsidRDefault="00C30444" w:rsidP="003E35ED">
            <w:pPr>
              <w:tabs>
                <w:tab w:val="left" w:pos="2835"/>
              </w:tabs>
              <w:ind w:right="510"/>
              <w:jc w:val="center"/>
              <w:rPr>
                <w:bCs/>
                <w:color w:val="000000"/>
                <w:lang w:val="uk-UA"/>
              </w:rPr>
            </w:pPr>
          </w:p>
          <w:p w:rsidR="001426B5" w:rsidRDefault="001426B5" w:rsidP="001426B5">
            <w:pPr>
              <w:tabs>
                <w:tab w:val="left" w:pos="2835"/>
              </w:tabs>
              <w:ind w:right="510"/>
            </w:pPr>
            <w:r>
              <w:t>КНП «ПОЛОГОВИИ БУДИНОК№</w:t>
            </w:r>
            <w:r w:rsidR="00473C17">
              <w:rPr>
                <w:lang w:val="uk-UA"/>
              </w:rPr>
              <w:t>2</w:t>
            </w:r>
            <w:r>
              <w:t xml:space="preserve">» ОМР </w:t>
            </w:r>
          </w:p>
          <w:p w:rsidR="001426B5" w:rsidRDefault="001426B5" w:rsidP="001426B5">
            <w:pPr>
              <w:tabs>
                <w:tab w:val="left" w:pos="2835"/>
              </w:tabs>
              <w:ind w:right="510"/>
              <w:jc w:val="right"/>
              <w:rPr>
                <w:b/>
                <w:bCs/>
                <w:color w:val="000000"/>
                <w:lang w:val="uk-UA"/>
              </w:rPr>
            </w:pPr>
          </w:p>
          <w:p w:rsidR="001426B5" w:rsidRPr="00ED74D8" w:rsidRDefault="001426B5" w:rsidP="001426B5">
            <w:pPr>
              <w:rPr>
                <w:lang w:val="uk-UA"/>
              </w:rPr>
            </w:pPr>
          </w:p>
          <w:p w:rsidR="001426B5" w:rsidRDefault="001426B5" w:rsidP="001426B5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  <w:p w:rsidR="001426B5" w:rsidRDefault="001426B5" w:rsidP="001426B5">
            <w:pPr>
              <w:rPr>
                <w:lang w:val="uk-UA"/>
              </w:rPr>
            </w:pPr>
          </w:p>
          <w:p w:rsidR="001426B5" w:rsidRDefault="001426B5" w:rsidP="001426B5">
            <w:pPr>
              <w:rPr>
                <w:lang w:val="uk-UA"/>
              </w:rPr>
            </w:pPr>
          </w:p>
          <w:p w:rsidR="001426B5" w:rsidRDefault="001426B5" w:rsidP="001426B5">
            <w:pPr>
              <w:rPr>
                <w:lang w:val="uk-UA"/>
              </w:rPr>
            </w:pPr>
            <w:r>
              <w:rPr>
                <w:lang w:val="uk-UA"/>
              </w:rPr>
              <w:t>________</w:t>
            </w:r>
            <w:proofErr w:type="spellStart"/>
            <w:r w:rsidR="00473C17">
              <w:rPr>
                <w:lang w:val="uk-UA"/>
              </w:rPr>
              <w:t>Голубенко</w:t>
            </w:r>
            <w:proofErr w:type="spellEnd"/>
            <w:r w:rsidR="00473C17">
              <w:rPr>
                <w:lang w:val="uk-UA"/>
              </w:rPr>
              <w:t xml:space="preserve"> М Ю</w:t>
            </w:r>
          </w:p>
          <w:p w:rsidR="00C30444" w:rsidRPr="00173FE6" w:rsidRDefault="00C30444" w:rsidP="003E35ED">
            <w:pPr>
              <w:tabs>
                <w:tab w:val="left" w:pos="3930"/>
              </w:tabs>
              <w:ind w:left="-709" w:right="16" w:firstLine="425"/>
              <w:jc w:val="both"/>
              <w:rPr>
                <w:lang w:eastAsia="en-US"/>
              </w:rPr>
            </w:pPr>
            <w:r w:rsidRPr="00173FE6"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C30444" w:rsidRPr="00173FE6" w:rsidRDefault="00C30444" w:rsidP="003E35ED">
            <w:pPr>
              <w:tabs>
                <w:tab w:val="left" w:pos="0"/>
                <w:tab w:val="left" w:pos="9073"/>
              </w:tabs>
              <w:ind w:left="-709" w:right="16" w:firstLine="425"/>
              <w:jc w:val="both"/>
              <w:rPr>
                <w:lang w:eastAsia="en-US"/>
              </w:rPr>
            </w:pPr>
            <w:r w:rsidRPr="00173FE6">
              <w:rPr>
                <w:lang w:val="en-US" w:eastAsia="en-US"/>
              </w:rPr>
              <w:t> </w:t>
            </w:r>
          </w:p>
          <w:p w:rsidR="00C30444" w:rsidRPr="00173FE6" w:rsidRDefault="00C30444" w:rsidP="003E35ED">
            <w:pPr>
              <w:tabs>
                <w:tab w:val="left" w:pos="0"/>
                <w:tab w:val="left" w:pos="9073"/>
              </w:tabs>
              <w:ind w:left="-709" w:right="16" w:firstLine="425"/>
              <w:jc w:val="both"/>
              <w:rPr>
                <w:lang w:eastAsia="en-US"/>
              </w:rPr>
            </w:pPr>
            <w:r w:rsidRPr="00173FE6">
              <w:rPr>
                <w:lang w:val="en-US" w:eastAsia="en-US"/>
              </w:rPr>
              <w:t> </w:t>
            </w:r>
          </w:p>
          <w:p w:rsidR="00C30444" w:rsidRPr="00173FE6" w:rsidRDefault="00C30444" w:rsidP="003E35ED">
            <w:pPr>
              <w:tabs>
                <w:tab w:val="left" w:pos="0"/>
                <w:tab w:val="left" w:pos="9073"/>
              </w:tabs>
              <w:ind w:left="-709" w:right="16" w:firstLine="425"/>
              <w:jc w:val="both"/>
              <w:rPr>
                <w:lang w:eastAsia="en-US"/>
              </w:rPr>
            </w:pPr>
            <w:r w:rsidRPr="00173FE6">
              <w:rPr>
                <w:color w:val="000000"/>
                <w:lang w:val="en-US" w:eastAsia="en-US"/>
              </w:rPr>
              <w:t>                    </w:t>
            </w:r>
            <w:r w:rsidRPr="00173FE6">
              <w:rPr>
                <w:color w:val="000000"/>
                <w:lang w:eastAsia="en-US"/>
              </w:rPr>
              <w:t xml:space="preserve"> </w:t>
            </w:r>
          </w:p>
          <w:p w:rsidR="00C30444" w:rsidRPr="00953397" w:rsidRDefault="00C30444" w:rsidP="003E35ED">
            <w:pPr>
              <w:tabs>
                <w:tab w:val="left" w:pos="0"/>
                <w:tab w:val="left" w:pos="9073"/>
              </w:tabs>
              <w:ind w:left="-709" w:right="16" w:firstLine="425"/>
              <w:jc w:val="both"/>
              <w:rPr>
                <w:lang w:eastAsia="en-US"/>
              </w:rPr>
            </w:pPr>
            <w:r w:rsidRPr="00173FE6">
              <w:rPr>
                <w:color w:val="000000"/>
                <w:sz w:val="20"/>
                <w:szCs w:val="20"/>
                <w:lang w:val="en-US" w:eastAsia="en-US"/>
              </w:rPr>
              <w:t>         </w:t>
            </w:r>
            <w:r w:rsidRPr="00173FE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30444" w:rsidRPr="00953397" w:rsidRDefault="00C30444" w:rsidP="003E35ED">
            <w:pPr>
              <w:tabs>
                <w:tab w:val="left" w:pos="0"/>
                <w:tab w:val="left" w:pos="9073"/>
              </w:tabs>
              <w:ind w:right="16"/>
              <w:jc w:val="both"/>
              <w:rPr>
                <w:lang w:eastAsia="en-US"/>
              </w:rPr>
            </w:pPr>
            <w:r w:rsidRPr="00173FE6">
              <w:rPr>
                <w:lang w:val="en-US" w:eastAsia="en-US"/>
              </w:rPr>
              <w:t> </w:t>
            </w:r>
          </w:p>
          <w:p w:rsidR="00C30444" w:rsidRPr="00953397" w:rsidRDefault="00C30444" w:rsidP="003E35ED">
            <w:pPr>
              <w:tabs>
                <w:tab w:val="left" w:pos="2835"/>
              </w:tabs>
              <w:ind w:left="-397" w:right="510"/>
              <w:rPr>
                <w:lang w:eastAsia="en-US"/>
              </w:rPr>
            </w:pPr>
          </w:p>
          <w:p w:rsidR="00C30444" w:rsidRDefault="00C30444" w:rsidP="003E35ED">
            <w:pPr>
              <w:tabs>
                <w:tab w:val="left" w:pos="2835"/>
              </w:tabs>
              <w:ind w:right="510"/>
              <w:jc w:val="right"/>
              <w:rPr>
                <w:b/>
                <w:bCs/>
                <w:color w:val="000000"/>
                <w:lang w:val="uk-UA"/>
              </w:rPr>
            </w:pPr>
          </w:p>
          <w:p w:rsidR="00C30444" w:rsidRPr="00ED74D8" w:rsidRDefault="00C30444" w:rsidP="003E35ED">
            <w:pPr>
              <w:rPr>
                <w:lang w:val="uk-UA"/>
              </w:rPr>
            </w:pPr>
          </w:p>
          <w:p w:rsidR="00C30444" w:rsidRDefault="00C30444" w:rsidP="003E35ED">
            <w:pPr>
              <w:rPr>
                <w:lang w:val="uk-UA"/>
              </w:rPr>
            </w:pPr>
          </w:p>
          <w:tbl>
            <w:tblPr>
              <w:tblW w:w="5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30"/>
              <w:gridCol w:w="1005"/>
              <w:gridCol w:w="1035"/>
              <w:gridCol w:w="990"/>
              <w:gridCol w:w="1065"/>
            </w:tblGrid>
            <w:tr w:rsidR="00C30444" w:rsidRPr="00ED74D8" w:rsidTr="003E35ED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ED74D8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ED74D8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ED74D8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ED74D8" w:rsidRDefault="00C30444" w:rsidP="003E35ED">
                  <w:pPr>
                    <w:rPr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ED74D8" w:rsidRDefault="00C30444" w:rsidP="003E35ED">
                  <w:pPr>
                    <w:rPr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405"/>
              </w:trPr>
              <w:tc>
                <w:tcPr>
                  <w:tcW w:w="1035" w:type="dxa"/>
                  <w:gridSpan w:val="2"/>
                </w:tcPr>
                <w:p w:rsidR="00C30444" w:rsidRPr="00ED74D8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95" w:type="dxa"/>
                  <w:gridSpan w:val="4"/>
                  <w:shd w:val="clear" w:color="auto" w:fill="auto"/>
                </w:tcPr>
                <w:p w:rsidR="00C30444" w:rsidRPr="00ED74D8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450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0444" w:rsidRPr="00ED74D8" w:rsidTr="003E35ED">
              <w:trPr>
                <w:trHeight w:val="379"/>
              </w:trPr>
              <w:tc>
                <w:tcPr>
                  <w:tcW w:w="1005" w:type="dxa"/>
                  <w:shd w:val="clear" w:color="auto" w:fill="auto"/>
                  <w:noWrap/>
                  <w:vAlign w:val="bottom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gridSpan w:val="2"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noWrap/>
                  <w:vAlign w:val="bottom"/>
                  <w:hideMark/>
                </w:tcPr>
                <w:p w:rsidR="00C30444" w:rsidRPr="00953397" w:rsidRDefault="00C30444" w:rsidP="003E35ED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30444" w:rsidRPr="00ED74D8" w:rsidRDefault="00C30444" w:rsidP="003E35ED">
            <w:pPr>
              <w:ind w:left="-956" w:right="-856"/>
              <w:rPr>
                <w:lang w:val="uk-UA"/>
              </w:rPr>
            </w:pPr>
          </w:p>
        </w:tc>
        <w:tc>
          <w:tcPr>
            <w:tcW w:w="1984" w:type="dxa"/>
          </w:tcPr>
          <w:p w:rsidR="00C30444" w:rsidRDefault="00C30444" w:rsidP="003E35ED">
            <w:pPr>
              <w:ind w:left="510" w:right="510"/>
              <w:jc w:val="center"/>
              <w:rPr>
                <w:rFonts w:eastAsia="Calibri"/>
                <w:b/>
                <w:lang w:val="uk-UA"/>
              </w:rPr>
            </w:pPr>
          </w:p>
          <w:p w:rsidR="00C30444" w:rsidRDefault="00C30444" w:rsidP="003E35ED">
            <w:pPr>
              <w:ind w:right="510"/>
              <w:rPr>
                <w:b/>
                <w:lang w:val="uk-UA"/>
              </w:rPr>
            </w:pPr>
          </w:p>
          <w:p w:rsidR="00C30444" w:rsidRDefault="00C30444" w:rsidP="003E35ED">
            <w:pPr>
              <w:ind w:right="510"/>
              <w:rPr>
                <w:rFonts w:eastAsia="Calibri"/>
                <w:b/>
                <w:lang w:val="uk-UA"/>
              </w:rPr>
            </w:pPr>
          </w:p>
        </w:tc>
        <w:tc>
          <w:tcPr>
            <w:tcW w:w="3545" w:type="dxa"/>
          </w:tcPr>
          <w:p w:rsidR="00C30444" w:rsidRDefault="00C30444" w:rsidP="003E35ED">
            <w:pPr>
              <w:ind w:left="510" w:right="510"/>
              <w:jc w:val="center"/>
              <w:rPr>
                <w:b/>
                <w:lang w:val="uk-UA"/>
              </w:rPr>
            </w:pPr>
          </w:p>
          <w:p w:rsidR="00C30444" w:rsidRDefault="00C30444" w:rsidP="003E35E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«ПРОДАВЕЦЬ»</w:t>
            </w: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right="510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left="510" w:right="510"/>
              <w:jc w:val="center"/>
              <w:rPr>
                <w:rFonts w:eastAsia="Calibri"/>
                <w:lang w:val="uk-UA"/>
              </w:rPr>
            </w:pPr>
          </w:p>
          <w:p w:rsidR="00C30444" w:rsidRDefault="00C30444" w:rsidP="003E35ED">
            <w:pPr>
              <w:ind w:right="510"/>
              <w:jc w:val="right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</w:t>
            </w:r>
          </w:p>
          <w:p w:rsidR="00C30444" w:rsidRDefault="00C30444" w:rsidP="003E35ED">
            <w:pPr>
              <w:ind w:left="510" w:right="510"/>
              <w:jc w:val="right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                </w:t>
            </w:r>
          </w:p>
        </w:tc>
      </w:tr>
    </w:tbl>
    <w:p w:rsidR="00C30444" w:rsidRDefault="00C30444" w:rsidP="00C30444">
      <w:pPr>
        <w:tabs>
          <w:tab w:val="left" w:pos="1257"/>
        </w:tabs>
      </w:pPr>
    </w:p>
    <w:p w:rsidR="00C30444" w:rsidRDefault="00C30444" w:rsidP="00C30444">
      <w:pPr>
        <w:tabs>
          <w:tab w:val="left" w:pos="1257"/>
        </w:tabs>
      </w:pPr>
    </w:p>
    <w:p w:rsidR="00C30444" w:rsidRPr="00C30444" w:rsidRDefault="00C30444" w:rsidP="00C30444">
      <w:pPr>
        <w:tabs>
          <w:tab w:val="left" w:pos="1257"/>
        </w:tabs>
      </w:pPr>
    </w:p>
    <w:sectPr w:rsidR="00C30444" w:rsidRPr="00C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B9"/>
    <w:rsid w:val="00101021"/>
    <w:rsid w:val="001426B5"/>
    <w:rsid w:val="00155AF9"/>
    <w:rsid w:val="00173FE6"/>
    <w:rsid w:val="00334360"/>
    <w:rsid w:val="00473C17"/>
    <w:rsid w:val="004D7225"/>
    <w:rsid w:val="005B20B5"/>
    <w:rsid w:val="005D27B9"/>
    <w:rsid w:val="007E1CB3"/>
    <w:rsid w:val="00862613"/>
    <w:rsid w:val="00881030"/>
    <w:rsid w:val="00893548"/>
    <w:rsid w:val="008D1498"/>
    <w:rsid w:val="00953397"/>
    <w:rsid w:val="00987FE1"/>
    <w:rsid w:val="009F2666"/>
    <w:rsid w:val="00C30444"/>
    <w:rsid w:val="00E93CEA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6EA"/>
  <w15:chartTrackingRefBased/>
  <w15:docId w15:val="{A5CCABE7-4933-45B1-A1FA-A843658A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87FE1"/>
  </w:style>
  <w:style w:type="paragraph" w:styleId="a3">
    <w:name w:val="Normal (Web)"/>
    <w:basedOn w:val="a"/>
    <w:uiPriority w:val="99"/>
    <w:semiHidden/>
    <w:unhideWhenUsed/>
    <w:rsid w:val="00173FE6"/>
    <w:pPr>
      <w:spacing w:before="100" w:beforeAutospacing="1" w:after="100" w:afterAutospacing="1"/>
    </w:pPr>
    <w:rPr>
      <w:lang w:val="en-US" w:eastAsia="en-US"/>
    </w:rPr>
  </w:style>
  <w:style w:type="table" w:styleId="a4">
    <w:name w:val="Table Grid"/>
    <w:basedOn w:val="a1"/>
    <w:uiPriority w:val="39"/>
    <w:rsid w:val="00C3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Pereyra</dc:creator>
  <cp:keywords/>
  <dc:description/>
  <cp:lastModifiedBy>korom@ukr.net</cp:lastModifiedBy>
  <cp:revision>13</cp:revision>
  <dcterms:created xsi:type="dcterms:W3CDTF">2020-07-20T19:39:00Z</dcterms:created>
  <dcterms:modified xsi:type="dcterms:W3CDTF">2022-07-25T11:03:00Z</dcterms:modified>
</cp:coreProperties>
</file>