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71" w:rsidRPr="00143D2B" w:rsidRDefault="00D12571" w:rsidP="008C1558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3D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D12571" w:rsidRPr="00143D2B" w:rsidRDefault="00D12571" w:rsidP="00D12571">
      <w:pPr>
        <w:spacing w:line="240" w:lineRule="auto"/>
        <w:ind w:left="566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3D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143D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143D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43D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  <w:r w:rsidRPr="00143D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2571" w:rsidRPr="00143D2B" w:rsidRDefault="00D12571" w:rsidP="00D1257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43D2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Інформація</w:t>
      </w:r>
      <w:proofErr w:type="spellEnd"/>
      <w:r w:rsidRPr="00143D2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про </w:t>
      </w:r>
      <w:proofErr w:type="spellStart"/>
      <w:r w:rsidRPr="00143D2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необхідні</w:t>
      </w:r>
      <w:proofErr w:type="spellEnd"/>
      <w:r w:rsidRPr="00143D2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143D2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технічні</w:t>
      </w:r>
      <w:proofErr w:type="spellEnd"/>
      <w:r w:rsidRPr="00143D2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 w:rsidRPr="00143D2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якісні</w:t>
      </w:r>
      <w:proofErr w:type="spellEnd"/>
      <w:r w:rsidRPr="00143D2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та </w:t>
      </w:r>
      <w:proofErr w:type="spellStart"/>
      <w:r w:rsidRPr="00143D2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кількісні</w:t>
      </w:r>
      <w:proofErr w:type="spellEnd"/>
      <w:r w:rsidRPr="00143D2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характеристики предмета </w:t>
      </w:r>
      <w:proofErr w:type="spellStart"/>
      <w:r w:rsidRPr="00143D2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закупівлі</w:t>
      </w:r>
      <w:proofErr w:type="spellEnd"/>
      <w:r w:rsidRPr="00143D2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— </w:t>
      </w:r>
      <w:proofErr w:type="spellStart"/>
      <w:r w:rsidRPr="00143D2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технічні</w:t>
      </w:r>
      <w:proofErr w:type="spellEnd"/>
      <w:r w:rsidRPr="00143D2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143D2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вимоги</w:t>
      </w:r>
      <w:proofErr w:type="spellEnd"/>
      <w:r w:rsidRPr="00143D2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до предмета </w:t>
      </w:r>
      <w:proofErr w:type="spellStart"/>
      <w:r w:rsidRPr="00143D2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закупівлі</w:t>
      </w:r>
      <w:proofErr w:type="spellEnd"/>
    </w:p>
    <w:p w:rsidR="00D12571" w:rsidRPr="00143D2B" w:rsidRDefault="00D12571" w:rsidP="00D1257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D12571" w:rsidRPr="00143D2B" w:rsidRDefault="00D12571" w:rsidP="00D1257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43D2B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D12571" w:rsidRPr="00143D2B" w:rsidRDefault="00D12571" w:rsidP="00D1257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12571" w:rsidRDefault="00D12571" w:rsidP="00D12571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3D2B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143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3D2B">
        <w:rPr>
          <w:rFonts w:ascii="Times New Roman" w:eastAsia="Times New Roman" w:hAnsi="Times New Roman" w:cs="Times New Roman"/>
          <w:sz w:val="24"/>
          <w:szCs w:val="24"/>
        </w:rPr>
        <w:t>самостійно</w:t>
      </w:r>
      <w:proofErr w:type="spellEnd"/>
      <w:r w:rsidRPr="00143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3D2B">
        <w:rPr>
          <w:rFonts w:ascii="Times New Roman" w:eastAsia="Times New Roman" w:hAnsi="Times New Roman" w:cs="Times New Roman"/>
          <w:sz w:val="24"/>
          <w:szCs w:val="24"/>
        </w:rPr>
        <w:t>визначає</w:t>
      </w:r>
      <w:proofErr w:type="spellEnd"/>
      <w:r w:rsidRPr="00143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3D2B">
        <w:rPr>
          <w:rFonts w:ascii="Times New Roman" w:eastAsia="Times New Roman" w:hAnsi="Times New Roman" w:cs="Times New Roman"/>
          <w:sz w:val="24"/>
          <w:szCs w:val="24"/>
        </w:rPr>
        <w:t>необхідні</w:t>
      </w:r>
      <w:proofErr w:type="spellEnd"/>
      <w:r w:rsidRPr="00143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3D2B"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 w:rsidRPr="00143D2B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143D2B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143D2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143D2B">
        <w:rPr>
          <w:rFonts w:ascii="Times New Roman" w:eastAsia="Times New Roman" w:hAnsi="Times New Roman" w:cs="Times New Roman"/>
          <w:sz w:val="24"/>
          <w:szCs w:val="24"/>
        </w:rPr>
        <w:t>огляду</w:t>
      </w:r>
      <w:proofErr w:type="spellEnd"/>
      <w:r w:rsidRPr="00143D2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43D2B">
        <w:rPr>
          <w:rFonts w:ascii="Times New Roman" w:eastAsia="Times New Roman" w:hAnsi="Times New Roman" w:cs="Times New Roman"/>
          <w:sz w:val="24"/>
          <w:szCs w:val="24"/>
        </w:rPr>
        <w:t>специфіку</w:t>
      </w:r>
      <w:proofErr w:type="spellEnd"/>
      <w:r w:rsidRPr="00143D2B">
        <w:rPr>
          <w:rFonts w:ascii="Times New Roman" w:eastAsia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143D2B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143D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3D2B">
        <w:rPr>
          <w:rFonts w:ascii="Times New Roman" w:eastAsia="Times New Roman" w:hAnsi="Times New Roman" w:cs="Times New Roman"/>
          <w:sz w:val="24"/>
          <w:szCs w:val="24"/>
        </w:rPr>
        <w:t>керуючись</w:t>
      </w:r>
      <w:proofErr w:type="spellEnd"/>
      <w:r w:rsidRPr="00143D2B">
        <w:rPr>
          <w:rFonts w:ascii="Times New Roman" w:eastAsia="Times New Roman" w:hAnsi="Times New Roman" w:cs="Times New Roman"/>
          <w:sz w:val="24"/>
          <w:szCs w:val="24"/>
        </w:rPr>
        <w:t xml:space="preserve"> принципами </w:t>
      </w:r>
      <w:proofErr w:type="spellStart"/>
      <w:r w:rsidRPr="00143D2B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143D2B">
        <w:rPr>
          <w:rFonts w:ascii="Times New Roman" w:eastAsia="Times New Roman" w:hAnsi="Times New Roman" w:cs="Times New Roman"/>
          <w:sz w:val="24"/>
          <w:szCs w:val="24"/>
        </w:rPr>
        <w:t xml:space="preserve"> закупівель та з </w:t>
      </w:r>
      <w:proofErr w:type="spellStart"/>
      <w:r w:rsidRPr="00143D2B"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 w:rsidRPr="00143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3D2B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143D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571" w:rsidRPr="00FA575D" w:rsidRDefault="00D12571" w:rsidP="00D12571">
      <w:pPr>
        <w:shd w:val="clear" w:color="auto" w:fill="FFFFFF"/>
        <w:spacing w:after="0" w:line="276" w:lineRule="auto"/>
        <w:ind w:right="-285" w:firstLine="4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Фактом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подання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тендерної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пропозиції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учасник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підтверджує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відповідність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своєї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пропозиції</w:t>
      </w:r>
      <w:proofErr w:type="spellEnd"/>
      <w:r w:rsidRPr="00FA5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технічним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якісним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кількісним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функціональним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характеристикам до предмета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закупівлі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 тому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числі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технічній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специфікації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(у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разі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потреби – планам,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кресленням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малюнкам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чи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опису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предмета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закупівлі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та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іншим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вимогам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предмету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закупівлі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що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містяться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тендерній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документації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цьому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додатку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а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також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підтверджує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можливість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поставки товару, у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відповідності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вимог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визначених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згідно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умовами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тендерної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документації</w:t>
      </w:r>
      <w:proofErr w:type="spellEnd"/>
      <w:r w:rsidRPr="00FA57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12571" w:rsidRPr="00FA575D" w:rsidRDefault="00D12571" w:rsidP="00D12571">
      <w:pPr>
        <w:shd w:val="clear" w:color="auto" w:fill="FFFFFF"/>
        <w:spacing w:after="0" w:line="276" w:lineRule="auto"/>
        <w:ind w:right="-28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575D">
        <w:rPr>
          <w:rFonts w:ascii="Times New Roman" w:eastAsia="Times New Roman" w:hAnsi="Times New Roman" w:cs="Times New Roman"/>
          <w:sz w:val="24"/>
          <w:szCs w:val="24"/>
        </w:rPr>
        <w:t>Обґрунтування</w:t>
      </w:r>
      <w:proofErr w:type="spellEnd"/>
      <w:r w:rsidRPr="00FA5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75D">
        <w:rPr>
          <w:rFonts w:ascii="Times New Roman" w:eastAsia="Times New Roman" w:hAnsi="Times New Roman" w:cs="Times New Roman"/>
          <w:sz w:val="24"/>
          <w:szCs w:val="24"/>
        </w:rPr>
        <w:t>необхідності</w:t>
      </w:r>
      <w:proofErr w:type="spellEnd"/>
      <w:r w:rsidRPr="00FA5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75D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A5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75D"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 w:rsidRPr="00FA575D">
        <w:rPr>
          <w:rFonts w:ascii="Times New Roman" w:eastAsia="Times New Roman" w:hAnsi="Times New Roman" w:cs="Times New Roman"/>
          <w:sz w:val="24"/>
          <w:szCs w:val="24"/>
        </w:rPr>
        <w:t xml:space="preserve"> виду товару – </w:t>
      </w:r>
      <w:proofErr w:type="spellStart"/>
      <w:r w:rsidRPr="00FA575D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FA5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75D"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 w:rsidRPr="00FA5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75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FA5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75D"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 w:rsidRPr="00FA575D">
        <w:rPr>
          <w:rFonts w:ascii="Times New Roman" w:eastAsia="Times New Roman" w:hAnsi="Times New Roman" w:cs="Times New Roman"/>
          <w:sz w:val="24"/>
          <w:szCs w:val="24"/>
        </w:rPr>
        <w:t xml:space="preserve"> виду товару, </w:t>
      </w:r>
      <w:proofErr w:type="spellStart"/>
      <w:r w:rsidRPr="00FA575D">
        <w:rPr>
          <w:rFonts w:ascii="Times New Roman" w:eastAsia="Times New Roman" w:hAnsi="Times New Roman" w:cs="Times New Roman"/>
          <w:sz w:val="24"/>
          <w:szCs w:val="24"/>
        </w:rPr>
        <w:t>оскільки</w:t>
      </w:r>
      <w:proofErr w:type="spellEnd"/>
      <w:r w:rsidRPr="00FA5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75D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FA575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A575D">
        <w:rPr>
          <w:rFonts w:ascii="Times New Roman" w:eastAsia="Times New Roman" w:hAnsi="Times New Roman" w:cs="Times New Roman"/>
          <w:sz w:val="24"/>
          <w:szCs w:val="24"/>
        </w:rPr>
        <w:t>своїми</w:t>
      </w:r>
      <w:proofErr w:type="spellEnd"/>
      <w:r w:rsidRPr="00FA5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75D">
        <w:rPr>
          <w:rFonts w:ascii="Times New Roman" w:eastAsia="Times New Roman" w:hAnsi="Times New Roman" w:cs="Times New Roman"/>
          <w:sz w:val="24"/>
          <w:szCs w:val="24"/>
        </w:rPr>
        <w:t>якісними</w:t>
      </w:r>
      <w:proofErr w:type="spellEnd"/>
      <w:r w:rsidRPr="00FA575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A575D">
        <w:rPr>
          <w:rFonts w:ascii="Times New Roman" w:eastAsia="Times New Roman" w:hAnsi="Times New Roman" w:cs="Times New Roman"/>
          <w:sz w:val="24"/>
          <w:szCs w:val="24"/>
        </w:rPr>
        <w:t>технічними</w:t>
      </w:r>
      <w:proofErr w:type="spellEnd"/>
      <w:r w:rsidRPr="00FA575D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характеристиками </w:t>
      </w:r>
      <w:proofErr w:type="spellStart"/>
      <w:r w:rsidRPr="00FA575D">
        <w:rPr>
          <w:rFonts w:ascii="Times New Roman" w:eastAsia="Times New Roman" w:hAnsi="Times New Roman" w:cs="Times New Roman"/>
          <w:sz w:val="24"/>
          <w:szCs w:val="24"/>
        </w:rPr>
        <w:t>найбільше</w:t>
      </w:r>
      <w:proofErr w:type="spellEnd"/>
      <w:r w:rsidRPr="00FA5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75D">
        <w:rPr>
          <w:rFonts w:ascii="Times New Roman" w:eastAsia="Times New Roman" w:hAnsi="Times New Roman" w:cs="Times New Roman"/>
          <w:sz w:val="24"/>
          <w:szCs w:val="24"/>
        </w:rPr>
        <w:t>відповідатиме</w:t>
      </w:r>
      <w:proofErr w:type="spellEnd"/>
      <w:r w:rsidRPr="00FA5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75D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FA575D">
        <w:rPr>
          <w:rFonts w:ascii="Times New Roman" w:eastAsia="Times New Roman" w:hAnsi="Times New Roman" w:cs="Times New Roman"/>
          <w:sz w:val="24"/>
          <w:szCs w:val="24"/>
        </w:rPr>
        <w:t xml:space="preserve"> та потребам </w:t>
      </w:r>
      <w:proofErr w:type="spellStart"/>
      <w:r w:rsidRPr="00FA575D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FA57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571" w:rsidRPr="00FA575D" w:rsidRDefault="00D12571" w:rsidP="00D12571">
      <w:pPr>
        <w:widowControl w:val="0"/>
        <w:spacing w:after="0" w:line="276" w:lineRule="auto"/>
        <w:ind w:right="-285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12571" w:rsidRPr="00FA575D" w:rsidRDefault="00D12571" w:rsidP="00D12571">
      <w:pPr>
        <w:tabs>
          <w:tab w:val="left" w:pos="708"/>
        </w:tabs>
        <w:spacing w:after="0" w:line="276" w:lineRule="auto"/>
        <w:ind w:right="-28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A57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1. </w:t>
      </w:r>
      <w:proofErr w:type="spellStart"/>
      <w:r w:rsidRPr="00FA57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Загальні</w:t>
      </w:r>
      <w:proofErr w:type="spellEnd"/>
      <w:r w:rsidRPr="00FA57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положення</w:t>
      </w:r>
      <w:proofErr w:type="spellEnd"/>
    </w:p>
    <w:p w:rsidR="00D12571" w:rsidRPr="00FA575D" w:rsidRDefault="00D12571" w:rsidP="00D12571">
      <w:pPr>
        <w:tabs>
          <w:tab w:val="left" w:pos="708"/>
        </w:tabs>
        <w:spacing w:after="0" w:line="276" w:lineRule="auto"/>
        <w:ind w:right="-28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</w:pP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Відповідно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</w:t>
      </w:r>
      <w:proofErr w:type="gram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до пункту</w:t>
      </w:r>
      <w:proofErr w:type="gram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3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частини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другої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статті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22 Закону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цей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Додаток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визначає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інформацію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про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необхідні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технічні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,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якісні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,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кількісні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та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інші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характеристики предмета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закупівлі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, а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також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способи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документального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підтвердження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відповідності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тендерної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пропозиції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учасника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цим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характеристикам та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вимогам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до предмета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закупівлі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.</w:t>
      </w:r>
    </w:p>
    <w:p w:rsidR="00D12571" w:rsidRPr="00FA575D" w:rsidRDefault="00D12571" w:rsidP="00D12571">
      <w:pPr>
        <w:tabs>
          <w:tab w:val="left" w:pos="708"/>
        </w:tabs>
        <w:spacing w:after="0" w:line="276" w:lineRule="auto"/>
        <w:ind w:right="-28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</w:pP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Учасник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повинен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надати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в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складі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тендерної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пропозиції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інформацію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та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документи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,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які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підтверджують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її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відповідність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технічним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,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якісним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,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кількісним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та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іншим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характеристикам (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вимогам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) предмета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закупівлі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,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відповідно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до умов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цього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 xml:space="preserve">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Додатку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 w:bidi="uk-UA"/>
        </w:rPr>
        <w:t>.</w:t>
      </w:r>
    </w:p>
    <w:p w:rsidR="00D12571" w:rsidRPr="00FA575D" w:rsidRDefault="00D12571" w:rsidP="00D12571">
      <w:pPr>
        <w:tabs>
          <w:tab w:val="left" w:pos="708"/>
        </w:tabs>
        <w:spacing w:after="0" w:line="276" w:lineRule="auto"/>
        <w:ind w:right="-28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Інформація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та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документи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передбачені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цим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Додатком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подаються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у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складі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тендерної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пропозиції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у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вигляді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електронних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документів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, файл (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файли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) з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якими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завантажуються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в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електронну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систему закупівель у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складі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тендерної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пропозиції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.</w:t>
      </w:r>
    </w:p>
    <w:p w:rsidR="00D12571" w:rsidRPr="00FA575D" w:rsidRDefault="00D12571" w:rsidP="00D12571">
      <w:pPr>
        <w:tabs>
          <w:tab w:val="left" w:pos="708"/>
        </w:tabs>
        <w:spacing w:before="240" w:after="0" w:line="276" w:lineRule="auto"/>
        <w:ind w:right="-28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A57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2. </w:t>
      </w:r>
      <w:proofErr w:type="spellStart"/>
      <w:r w:rsidRPr="00FA57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Загальна</w:t>
      </w:r>
      <w:proofErr w:type="spellEnd"/>
      <w:r w:rsidRPr="00FA57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характеристика предмета </w:t>
      </w:r>
      <w:proofErr w:type="spellStart"/>
      <w:r w:rsidRPr="00FA57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закупівлі</w:t>
      </w:r>
      <w:proofErr w:type="spellEnd"/>
    </w:p>
    <w:p w:rsidR="00D12571" w:rsidRPr="00FA575D" w:rsidRDefault="00D12571" w:rsidP="00D12571">
      <w:pPr>
        <w:tabs>
          <w:tab w:val="left" w:pos="708"/>
        </w:tabs>
        <w:spacing w:after="0" w:line="276" w:lineRule="auto"/>
        <w:ind w:right="-285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Найменування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предмета </w:t>
      </w:r>
      <w:proofErr w:type="spellStart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закупівлі</w:t>
      </w:r>
      <w:proofErr w:type="spellEnd"/>
      <w:r w:rsidRPr="00FA575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: </w:t>
      </w:r>
      <w:r w:rsidRPr="00FA575D">
        <w:rPr>
          <w:rFonts w:ascii="Times New Roman" w:eastAsia="SimSun" w:hAnsi="Times New Roman" w:cs="Times New Roman"/>
          <w:color w:val="000000"/>
          <w:spacing w:val="-6"/>
          <w:kern w:val="1"/>
          <w:sz w:val="24"/>
          <w:szCs w:val="24"/>
          <w:lang w:eastAsia="hi-IN" w:bidi="hi-IN"/>
        </w:rPr>
        <w:t xml:space="preserve">код </w:t>
      </w:r>
      <w:proofErr w:type="spellStart"/>
      <w:r w:rsidRPr="00FA575D">
        <w:rPr>
          <w:rFonts w:ascii="Times New Roman" w:hAnsi="Times New Roman" w:cs="Times New Roman"/>
          <w:bCs/>
          <w:spacing w:val="-6"/>
          <w:sz w:val="24"/>
          <w:szCs w:val="24"/>
          <w:lang w:eastAsia="en-US"/>
        </w:rPr>
        <w:t>національного</w:t>
      </w:r>
      <w:proofErr w:type="spellEnd"/>
      <w:r w:rsidRPr="00FA575D">
        <w:rPr>
          <w:rFonts w:ascii="Times New Roman" w:hAnsi="Times New Roman" w:cs="Times New Roman"/>
          <w:bCs/>
          <w:spacing w:val="-6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bCs/>
          <w:spacing w:val="-6"/>
          <w:sz w:val="24"/>
          <w:szCs w:val="24"/>
          <w:lang w:eastAsia="en-US"/>
        </w:rPr>
        <w:t>класифікатора</w:t>
      </w:r>
      <w:proofErr w:type="spellEnd"/>
      <w:r w:rsidRPr="00FA575D">
        <w:rPr>
          <w:rFonts w:ascii="Times New Roman" w:hAnsi="Times New Roman" w:cs="Times New Roman"/>
          <w:bCs/>
          <w:spacing w:val="-6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bCs/>
          <w:spacing w:val="-6"/>
          <w:sz w:val="24"/>
          <w:szCs w:val="24"/>
          <w:lang w:eastAsia="en-US"/>
        </w:rPr>
        <w:t>України</w:t>
      </w:r>
      <w:proofErr w:type="spellEnd"/>
      <w:r w:rsidRPr="00FA575D">
        <w:rPr>
          <w:rFonts w:ascii="Times New Roman" w:hAnsi="Times New Roman" w:cs="Times New Roman"/>
          <w:bCs/>
          <w:spacing w:val="-6"/>
          <w:sz w:val="24"/>
          <w:szCs w:val="24"/>
          <w:lang w:eastAsia="en-US"/>
        </w:rPr>
        <w:t xml:space="preserve"> </w:t>
      </w:r>
      <w:r w:rsidRPr="00FA575D">
        <w:rPr>
          <w:rFonts w:ascii="Times New Roman" w:eastAsia="SimSun" w:hAnsi="Times New Roman" w:cs="Times New Roman"/>
          <w:color w:val="000000"/>
          <w:spacing w:val="-6"/>
          <w:kern w:val="1"/>
          <w:sz w:val="24"/>
          <w:szCs w:val="24"/>
          <w:lang w:eastAsia="hi-IN" w:bidi="hi-IN"/>
        </w:rPr>
        <w:t>ДК 021:2015:</w:t>
      </w:r>
      <w:r w:rsidRPr="00FA575D">
        <w:rPr>
          <w:rFonts w:ascii="Times New Roman" w:eastAsia="SimSun" w:hAnsi="Times New Roman" w:cs="Times New Roman"/>
          <w:b/>
          <w:color w:val="000000"/>
          <w:spacing w:val="-6"/>
          <w:kern w:val="1"/>
          <w:sz w:val="24"/>
          <w:szCs w:val="24"/>
          <w:lang w:eastAsia="hi-IN" w:bidi="hi-IN"/>
        </w:rPr>
        <w:t xml:space="preserve"> </w:t>
      </w:r>
      <w:r w:rsidRPr="00FA575D">
        <w:rPr>
          <w:rFonts w:ascii="Times New Roman" w:hAnsi="Times New Roman" w:cs="Times New Roman"/>
          <w:b/>
          <w:bCs/>
          <w:spacing w:val="-6"/>
          <w:sz w:val="24"/>
          <w:szCs w:val="24"/>
          <w:lang w:eastAsia="en-US"/>
        </w:rPr>
        <w:t>09310000-5 «</w:t>
      </w:r>
      <w:proofErr w:type="spellStart"/>
      <w:r w:rsidRPr="00FA575D">
        <w:rPr>
          <w:rFonts w:ascii="Times New Roman" w:hAnsi="Times New Roman" w:cs="Times New Roman"/>
          <w:b/>
          <w:bCs/>
          <w:spacing w:val="-6"/>
          <w:sz w:val="24"/>
          <w:szCs w:val="24"/>
          <w:lang w:eastAsia="en-US"/>
        </w:rPr>
        <w:t>Електрична</w:t>
      </w:r>
      <w:proofErr w:type="spellEnd"/>
      <w:r w:rsidRPr="00FA575D">
        <w:rPr>
          <w:rFonts w:ascii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b/>
          <w:bCs/>
          <w:spacing w:val="-6"/>
          <w:sz w:val="24"/>
          <w:szCs w:val="24"/>
          <w:lang w:eastAsia="en-US"/>
        </w:rPr>
        <w:t>енергія</w:t>
      </w:r>
      <w:proofErr w:type="spellEnd"/>
      <w:r w:rsidRPr="00FA575D">
        <w:rPr>
          <w:rFonts w:ascii="Times New Roman" w:hAnsi="Times New Roman" w:cs="Times New Roman"/>
          <w:b/>
          <w:bCs/>
          <w:spacing w:val="-6"/>
          <w:sz w:val="24"/>
          <w:szCs w:val="24"/>
          <w:lang w:eastAsia="en-US"/>
        </w:rPr>
        <w:t>»</w:t>
      </w:r>
      <w:r w:rsidRPr="00FA575D">
        <w:rPr>
          <w:rFonts w:ascii="Times New Roman" w:hAnsi="Times New Roman" w:cs="Times New Roman"/>
          <w:b/>
          <w:spacing w:val="-6"/>
          <w:sz w:val="24"/>
          <w:szCs w:val="24"/>
          <w:lang w:eastAsia="en-US"/>
        </w:rPr>
        <w:t xml:space="preserve"> </w:t>
      </w:r>
    </w:p>
    <w:p w:rsidR="00D12571" w:rsidRPr="00FA575D" w:rsidRDefault="00D12571" w:rsidP="00D12571">
      <w:pPr>
        <w:tabs>
          <w:tab w:val="left" w:pos="708"/>
        </w:tabs>
        <w:spacing w:after="0" w:line="276" w:lineRule="auto"/>
        <w:ind w:right="-285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proofErr w:type="spellStart"/>
      <w:r w:rsidRPr="00FA575D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Місце</w:t>
      </w:r>
      <w:proofErr w:type="spellEnd"/>
      <w:r w:rsidRPr="00FA575D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поставки:</w:t>
      </w:r>
      <w:r w:rsidRPr="00FA575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FA575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відповідно</w:t>
      </w:r>
      <w:proofErr w:type="spellEnd"/>
      <w:r w:rsidRPr="00FA575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до </w:t>
      </w:r>
      <w:proofErr w:type="spellStart"/>
      <w:r w:rsidRPr="00FA575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Таблиці</w:t>
      </w:r>
      <w:proofErr w:type="spellEnd"/>
      <w:r w:rsidRPr="00FA575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1 «ПЕРЕЛIК </w:t>
      </w:r>
      <w:proofErr w:type="spellStart"/>
      <w:r w:rsidRPr="00FA575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об'єктів</w:t>
      </w:r>
      <w:proofErr w:type="spellEnd"/>
      <w:r w:rsidRPr="00FA575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та </w:t>
      </w:r>
      <w:proofErr w:type="spellStart"/>
      <w:r w:rsidRPr="00FA575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точок</w:t>
      </w:r>
      <w:proofErr w:type="spellEnd"/>
      <w:r w:rsidRPr="00FA575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FA575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комерційного</w:t>
      </w:r>
      <w:proofErr w:type="spellEnd"/>
      <w:r w:rsidRPr="00FA575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FA575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обліку</w:t>
      </w:r>
      <w:proofErr w:type="spellEnd"/>
      <w:r w:rsidRPr="00FA575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FA575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споживача</w:t>
      </w:r>
      <w:proofErr w:type="spellEnd"/>
      <w:r w:rsidRPr="00FA575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»</w:t>
      </w:r>
    </w:p>
    <w:p w:rsidR="00D12571" w:rsidRPr="00FA575D" w:rsidRDefault="00D12571" w:rsidP="008C1558">
      <w:pPr>
        <w:tabs>
          <w:tab w:val="left" w:pos="708"/>
        </w:tabs>
        <w:spacing w:after="0" w:line="276" w:lineRule="auto"/>
        <w:ind w:right="-2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575D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Таблиця</w:t>
      </w:r>
      <w:proofErr w:type="spellEnd"/>
      <w:r w:rsidRPr="00FA5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:rsidR="00D12571" w:rsidRPr="00B75E05" w:rsidRDefault="00D12571" w:rsidP="00D12571">
      <w:pPr>
        <w:tabs>
          <w:tab w:val="left" w:pos="708"/>
        </w:tabs>
        <w:spacing w:after="0" w:line="276" w:lineRule="auto"/>
        <w:ind w:right="-28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E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ПЕРЕЛIК</w:t>
      </w:r>
    </w:p>
    <w:p w:rsidR="00D12571" w:rsidRPr="00B75E05" w:rsidRDefault="00D12571" w:rsidP="00D12571">
      <w:pPr>
        <w:tabs>
          <w:tab w:val="left" w:pos="708"/>
        </w:tabs>
        <w:spacing w:after="0" w:line="276" w:lineRule="auto"/>
        <w:ind w:right="-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5E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об'єктів</w:t>
      </w:r>
      <w:proofErr w:type="spellEnd"/>
      <w:r w:rsidRPr="00B75E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B75E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точок</w:t>
      </w:r>
      <w:proofErr w:type="spellEnd"/>
      <w:r w:rsidRPr="00B75E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75E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комерційного</w:t>
      </w:r>
      <w:proofErr w:type="spellEnd"/>
      <w:r w:rsidRPr="00B75E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75E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обліку</w:t>
      </w:r>
      <w:proofErr w:type="spellEnd"/>
      <w:r w:rsidRPr="00B75E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75E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споживача</w:t>
      </w:r>
      <w:proofErr w:type="spellEnd"/>
    </w:p>
    <w:tbl>
      <w:tblPr>
        <w:tblStyle w:val="af0"/>
        <w:tblW w:w="9498" w:type="dxa"/>
        <w:tblInd w:w="845" w:type="dxa"/>
        <w:tblLook w:val="04A0" w:firstRow="1" w:lastRow="0" w:firstColumn="1" w:lastColumn="0" w:noHBand="0" w:noVBand="1"/>
      </w:tblPr>
      <w:tblGrid>
        <w:gridCol w:w="518"/>
        <w:gridCol w:w="5719"/>
        <w:gridCol w:w="3261"/>
      </w:tblGrid>
      <w:tr w:rsidR="00D12571" w:rsidRPr="00A31D44" w:rsidTr="000F3CED">
        <w:trPr>
          <w:trHeight w:val="533"/>
        </w:trPr>
        <w:tc>
          <w:tcPr>
            <w:tcW w:w="518" w:type="dxa"/>
            <w:vAlign w:val="center"/>
          </w:tcPr>
          <w:p w:rsidR="00D12571" w:rsidRPr="00A31D44" w:rsidRDefault="00D12571" w:rsidP="000F3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12571" w:rsidRPr="00A31D44" w:rsidRDefault="00D12571" w:rsidP="000F3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44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719" w:type="dxa"/>
            <w:vAlign w:val="center"/>
          </w:tcPr>
          <w:p w:rsidR="00D12571" w:rsidRPr="00A31D44" w:rsidRDefault="00D12571" w:rsidP="000F3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44">
              <w:rPr>
                <w:rFonts w:ascii="Times New Roman" w:hAnsi="Times New Roman"/>
                <w:b/>
                <w:sz w:val="24"/>
                <w:szCs w:val="24"/>
              </w:rPr>
              <w:t xml:space="preserve">Адреса </w:t>
            </w:r>
            <w:proofErr w:type="spellStart"/>
            <w:r w:rsidRPr="00A31D44">
              <w:rPr>
                <w:rFonts w:ascii="Times New Roman" w:hAnsi="Times New Roman"/>
                <w:b/>
                <w:sz w:val="24"/>
                <w:szCs w:val="24"/>
              </w:rPr>
              <w:t>обєкта</w:t>
            </w:r>
            <w:proofErr w:type="spellEnd"/>
          </w:p>
        </w:tc>
        <w:tc>
          <w:tcPr>
            <w:tcW w:w="3261" w:type="dxa"/>
            <w:vAlign w:val="center"/>
          </w:tcPr>
          <w:p w:rsidR="00D12571" w:rsidRPr="00A31D44" w:rsidRDefault="00D12571" w:rsidP="000F3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44">
              <w:rPr>
                <w:rFonts w:ascii="Times New Roman" w:hAnsi="Times New Roman"/>
                <w:b/>
                <w:sz w:val="24"/>
                <w:szCs w:val="24"/>
              </w:rPr>
              <w:t>ЕІС-код(и) точки (</w:t>
            </w:r>
            <w:proofErr w:type="spellStart"/>
            <w:r w:rsidRPr="00A31D44">
              <w:rPr>
                <w:rFonts w:ascii="Times New Roman" w:hAnsi="Times New Roman"/>
                <w:b/>
                <w:sz w:val="24"/>
                <w:szCs w:val="24"/>
              </w:rPr>
              <w:t>точок</w:t>
            </w:r>
            <w:proofErr w:type="spellEnd"/>
            <w:r w:rsidRPr="00A31D4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31D44">
              <w:rPr>
                <w:rFonts w:ascii="Times New Roman" w:hAnsi="Times New Roman"/>
                <w:b/>
                <w:sz w:val="24"/>
                <w:szCs w:val="24"/>
              </w:rPr>
              <w:t>комерційного</w:t>
            </w:r>
            <w:proofErr w:type="spellEnd"/>
            <w:r w:rsidRPr="00A31D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1D44">
              <w:rPr>
                <w:rFonts w:ascii="Times New Roman" w:hAnsi="Times New Roman"/>
                <w:b/>
                <w:sz w:val="24"/>
                <w:szCs w:val="24"/>
              </w:rPr>
              <w:t>обліку</w:t>
            </w:r>
            <w:proofErr w:type="spellEnd"/>
          </w:p>
        </w:tc>
      </w:tr>
      <w:tr w:rsidR="00D12571" w:rsidRPr="00A31D44" w:rsidTr="000919FE">
        <w:trPr>
          <w:trHeight w:val="315"/>
        </w:trPr>
        <w:tc>
          <w:tcPr>
            <w:tcW w:w="518" w:type="dxa"/>
          </w:tcPr>
          <w:p w:rsidR="00D12571" w:rsidRPr="00A31D44" w:rsidRDefault="00D12571" w:rsidP="000F3CED">
            <w:pPr>
              <w:rPr>
                <w:rFonts w:ascii="Times New Roman" w:hAnsi="Times New Roman"/>
                <w:sz w:val="24"/>
                <w:szCs w:val="24"/>
              </w:rPr>
            </w:pPr>
            <w:r w:rsidRPr="00A31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9" w:type="dxa"/>
            <w:vAlign w:val="center"/>
          </w:tcPr>
          <w:p w:rsidR="00F72555" w:rsidRPr="00F72555" w:rsidRDefault="00F72555" w:rsidP="00F72555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555">
              <w:rPr>
                <w:rFonts w:ascii="Times New Roman" w:hAnsi="Times New Roman" w:cs="Times New Roman"/>
                <w:sz w:val="24"/>
                <w:szCs w:val="24"/>
              </w:rPr>
              <w:t>Плосківський</w:t>
            </w:r>
            <w:proofErr w:type="spellEnd"/>
            <w:r w:rsidRPr="00F72555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F72555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F72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555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F72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555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F72555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F72555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F72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555">
              <w:rPr>
                <w:rFonts w:ascii="Times New Roman" w:hAnsi="Times New Roman" w:cs="Times New Roman"/>
                <w:sz w:val="24"/>
                <w:szCs w:val="24"/>
              </w:rPr>
              <w:t>Селятинської</w:t>
            </w:r>
            <w:proofErr w:type="spellEnd"/>
            <w:r w:rsidRPr="00F72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555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F72555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D12571" w:rsidRPr="0054347C" w:rsidRDefault="00F72555" w:rsidP="00F72555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55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72555">
              <w:rPr>
                <w:rFonts w:ascii="Times New Roman" w:hAnsi="Times New Roman" w:cs="Times New Roman"/>
                <w:sz w:val="24"/>
                <w:szCs w:val="24"/>
              </w:rPr>
              <w:t xml:space="preserve">. Головна,77, с. Плоска, </w:t>
            </w:r>
            <w:proofErr w:type="spellStart"/>
            <w:r w:rsidRPr="00F72555">
              <w:rPr>
                <w:rFonts w:ascii="Times New Roman" w:hAnsi="Times New Roman" w:cs="Times New Roman"/>
                <w:sz w:val="24"/>
                <w:szCs w:val="24"/>
              </w:rPr>
              <w:t>Вижницький</w:t>
            </w:r>
            <w:proofErr w:type="spellEnd"/>
            <w:r w:rsidRPr="00F7255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72555">
              <w:rPr>
                <w:rFonts w:ascii="Times New Roman" w:hAnsi="Times New Roman" w:cs="Times New Roman"/>
                <w:sz w:val="24"/>
                <w:szCs w:val="24"/>
              </w:rPr>
              <w:t>Чернівецька</w:t>
            </w:r>
            <w:proofErr w:type="spellEnd"/>
            <w:r w:rsidRPr="00F7255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59130.</w:t>
            </w:r>
          </w:p>
        </w:tc>
        <w:tc>
          <w:tcPr>
            <w:tcW w:w="3261" w:type="dxa"/>
            <w:vAlign w:val="center"/>
          </w:tcPr>
          <w:p w:rsidR="00D12571" w:rsidRPr="00373407" w:rsidRDefault="000919FE" w:rsidP="0037340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2A30">
              <w:rPr>
                <w:rFonts w:ascii="Times New Roman" w:hAnsi="Times New Roman"/>
                <w:sz w:val="24"/>
                <w:szCs w:val="24"/>
              </w:rPr>
              <w:t>62Z</w:t>
            </w:r>
            <w:r w:rsidR="00373407">
              <w:rPr>
                <w:rFonts w:ascii="Times New Roman" w:hAnsi="Times New Roman"/>
                <w:sz w:val="24"/>
                <w:szCs w:val="24"/>
                <w:lang w:val="uk-UA"/>
              </w:rPr>
              <w:t>7765826833924</w:t>
            </w:r>
          </w:p>
        </w:tc>
      </w:tr>
    </w:tbl>
    <w:p w:rsidR="00D12571" w:rsidRPr="00B2016C" w:rsidRDefault="00D12571" w:rsidP="00D12571">
      <w:pPr>
        <w:tabs>
          <w:tab w:val="left" w:pos="708"/>
        </w:tabs>
        <w:spacing w:after="0" w:line="276" w:lineRule="auto"/>
        <w:ind w:right="-28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D12571" w:rsidRPr="00B2016C" w:rsidRDefault="00D12571" w:rsidP="0039206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val="uk-UA" w:eastAsia="hi-IN" w:bidi="hi-IN"/>
        </w:rPr>
      </w:pPr>
      <w:r w:rsidRPr="00B2016C">
        <w:rPr>
          <w:rFonts w:ascii="Times New Roman" w:eastAsia="SimSun" w:hAnsi="Times New Roman" w:cs="Times New Roman"/>
          <w:bCs/>
          <w:kern w:val="1"/>
          <w:sz w:val="24"/>
          <w:szCs w:val="24"/>
          <w:lang w:val="uk-UA" w:eastAsia="hi-IN" w:bidi="hi-IN"/>
        </w:rPr>
        <w:t xml:space="preserve">Планові обсяги споживання, що закуповується: </w:t>
      </w:r>
      <w:r w:rsidR="00373407">
        <w:rPr>
          <w:rFonts w:ascii="Times New Roman" w:eastAsia="SimSun" w:hAnsi="Times New Roman" w:cs="Times New Roman"/>
          <w:bCs/>
          <w:kern w:val="1"/>
          <w:sz w:val="24"/>
          <w:szCs w:val="24"/>
          <w:lang w:val="uk-UA" w:eastAsia="hi-IN" w:bidi="hi-IN"/>
        </w:rPr>
        <w:t>18</w:t>
      </w:r>
      <w:r w:rsidRPr="00B2016C">
        <w:rPr>
          <w:rFonts w:ascii="Times New Roman" w:eastAsia="SimSun" w:hAnsi="Times New Roman" w:cs="Times New Roman"/>
          <w:bCs/>
          <w:kern w:val="1"/>
          <w:sz w:val="24"/>
          <w:szCs w:val="24"/>
          <w:lang w:val="uk-UA" w:eastAsia="hi-IN" w:bidi="hi-IN"/>
        </w:rPr>
        <w:t xml:space="preserve"> 000 кВт*год</w:t>
      </w:r>
    </w:p>
    <w:p w:rsidR="00D12571" w:rsidRDefault="00D12571" w:rsidP="0039206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B2016C">
        <w:rPr>
          <w:rFonts w:ascii="Times New Roman" w:eastAsia="SimSun" w:hAnsi="Times New Roman" w:cs="Times New Roman"/>
          <w:bCs/>
          <w:kern w:val="1"/>
          <w:sz w:val="24"/>
          <w:szCs w:val="24"/>
          <w:lang w:val="uk-UA" w:eastAsia="hi-IN" w:bidi="hi-IN"/>
        </w:rPr>
        <w:t>Термін поставки Товару</w:t>
      </w:r>
      <w:r w:rsidRPr="00B2016C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: </w:t>
      </w:r>
      <w:r w:rsidRPr="00B2016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uk-UA" w:eastAsia="hi-IN" w:bidi="hi-IN"/>
        </w:rPr>
        <w:t xml:space="preserve">до 31 </w:t>
      </w:r>
      <w:proofErr w:type="spellStart"/>
      <w:r w:rsidRPr="00B2016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uk-UA" w:eastAsia="hi-IN" w:bidi="hi-IN"/>
        </w:rPr>
        <w:t>гр</w:t>
      </w:r>
      <w:r w:rsidRPr="00FA575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удня</w:t>
      </w:r>
      <w:proofErr w:type="spellEnd"/>
      <w:r w:rsidRPr="00FA575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2023 року.</w:t>
      </w:r>
    </w:p>
    <w:p w:rsidR="00D12571" w:rsidRPr="00FA575D" w:rsidRDefault="00D12571" w:rsidP="00D12571">
      <w:pPr>
        <w:tabs>
          <w:tab w:val="left" w:pos="708"/>
        </w:tabs>
        <w:spacing w:after="0" w:line="276" w:lineRule="auto"/>
        <w:ind w:right="-285"/>
        <w:jc w:val="both"/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</w:pPr>
    </w:p>
    <w:p w:rsidR="00D12571" w:rsidRPr="00FA575D" w:rsidRDefault="00D12571" w:rsidP="00D12571">
      <w:pPr>
        <w:tabs>
          <w:tab w:val="left" w:pos="708"/>
        </w:tabs>
        <w:spacing w:after="0" w:line="276" w:lineRule="auto"/>
        <w:ind w:right="-285"/>
        <w:jc w:val="both"/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</w:pPr>
      <w:proofErr w:type="spellStart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>Помісячний</w:t>
      </w:r>
      <w:proofErr w:type="spellEnd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>обсяг</w:t>
      </w:r>
      <w:proofErr w:type="spellEnd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>електричної</w:t>
      </w:r>
      <w:proofErr w:type="spellEnd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>енергії</w:t>
      </w:r>
      <w:proofErr w:type="spellEnd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 xml:space="preserve"> в 2023 </w:t>
      </w:r>
      <w:proofErr w:type="spellStart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>році</w:t>
      </w:r>
      <w:proofErr w:type="spellEnd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>визначається</w:t>
      </w:r>
      <w:proofErr w:type="spellEnd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>відповідно</w:t>
      </w:r>
      <w:proofErr w:type="spellEnd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 xml:space="preserve"> до потреб </w:t>
      </w:r>
      <w:proofErr w:type="spellStart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>замовника</w:t>
      </w:r>
      <w:proofErr w:type="spellEnd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 xml:space="preserve"> та </w:t>
      </w:r>
      <w:proofErr w:type="spellStart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>узгоджується</w:t>
      </w:r>
      <w:proofErr w:type="spellEnd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 xml:space="preserve"> в </w:t>
      </w:r>
      <w:proofErr w:type="spellStart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>договорі</w:t>
      </w:r>
      <w:proofErr w:type="spellEnd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 xml:space="preserve"> про </w:t>
      </w:r>
      <w:proofErr w:type="spellStart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>закупівлю</w:t>
      </w:r>
      <w:proofErr w:type="spellEnd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>під</w:t>
      </w:r>
      <w:proofErr w:type="spellEnd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 xml:space="preserve"> час </w:t>
      </w:r>
      <w:proofErr w:type="spellStart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>його</w:t>
      </w:r>
      <w:proofErr w:type="spellEnd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>підписання</w:t>
      </w:r>
      <w:proofErr w:type="spellEnd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 xml:space="preserve"> з </w:t>
      </w:r>
      <w:proofErr w:type="spellStart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>урахуванням</w:t>
      </w:r>
      <w:proofErr w:type="spellEnd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>фактичних</w:t>
      </w:r>
      <w:proofErr w:type="spellEnd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>видатків</w:t>
      </w:r>
      <w:proofErr w:type="spellEnd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>замовника</w:t>
      </w:r>
      <w:proofErr w:type="spellEnd"/>
      <w:r w:rsidRPr="00FA575D">
        <w:rPr>
          <w:rFonts w:ascii="Times New Roman" w:eastAsia="SimSun" w:hAnsi="Times New Roman" w:cs="Times New Roman"/>
          <w:i/>
          <w:color w:val="000000"/>
          <w:spacing w:val="-10"/>
          <w:kern w:val="1"/>
          <w:sz w:val="24"/>
          <w:szCs w:val="24"/>
          <w:lang w:eastAsia="hi-IN" w:bidi="hi-IN"/>
        </w:rPr>
        <w:t>.</w:t>
      </w:r>
    </w:p>
    <w:p w:rsidR="00D12571" w:rsidRPr="00FA575D" w:rsidRDefault="00D12571" w:rsidP="00D12571">
      <w:pPr>
        <w:tabs>
          <w:tab w:val="left" w:pos="708"/>
        </w:tabs>
        <w:spacing w:after="0" w:line="276" w:lineRule="auto"/>
        <w:ind w:right="-285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D12571" w:rsidRPr="00FA575D" w:rsidRDefault="00D12571" w:rsidP="00D12571">
      <w:pPr>
        <w:tabs>
          <w:tab w:val="left" w:pos="708"/>
        </w:tabs>
        <w:spacing w:after="0" w:line="276" w:lineRule="auto"/>
        <w:ind w:right="-28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spellStart"/>
      <w:r w:rsidRPr="00FA575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Умови</w:t>
      </w:r>
      <w:proofErr w:type="spellEnd"/>
      <w:r w:rsidRPr="00FA575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FA575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постачання</w:t>
      </w:r>
      <w:proofErr w:type="spellEnd"/>
      <w:r w:rsidRPr="00FA575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товару</w:t>
      </w:r>
      <w:r w:rsidRPr="00FA575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:</w:t>
      </w:r>
    </w:p>
    <w:p w:rsidR="00D12571" w:rsidRPr="00FA575D" w:rsidRDefault="00D12571" w:rsidP="00D12571">
      <w:pPr>
        <w:tabs>
          <w:tab w:val="left" w:pos="993"/>
          <w:tab w:val="left" w:pos="1560"/>
        </w:tabs>
        <w:spacing w:after="0" w:line="276" w:lineRule="auto"/>
        <w:ind w:right="-285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Постачання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електричної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енергії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споживачу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регулюється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чинним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законодавством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України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D12571" w:rsidRPr="00FA575D" w:rsidRDefault="00D12571" w:rsidP="00D12571">
      <w:pPr>
        <w:numPr>
          <w:ilvl w:val="0"/>
          <w:numId w:val="9"/>
        </w:numPr>
        <w:tabs>
          <w:tab w:val="left" w:pos="426"/>
          <w:tab w:val="left" w:pos="708"/>
          <w:tab w:val="left" w:pos="993"/>
          <w:tab w:val="left" w:pos="1560"/>
        </w:tabs>
        <w:suppressAutoHyphens/>
        <w:spacing w:after="0" w:line="276" w:lineRule="auto"/>
        <w:ind w:left="0" w:right="-285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Кодексом систем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розподілу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затвердженого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постановою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Національної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комісії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регулювання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електроенергетики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та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комунальних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послуг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України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від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14.03.2018 № 310;</w:t>
      </w:r>
    </w:p>
    <w:p w:rsidR="00D12571" w:rsidRPr="00FA575D" w:rsidRDefault="00D12571" w:rsidP="00D12571">
      <w:pPr>
        <w:numPr>
          <w:ilvl w:val="0"/>
          <w:numId w:val="9"/>
        </w:numPr>
        <w:tabs>
          <w:tab w:val="left" w:pos="426"/>
          <w:tab w:val="left" w:pos="708"/>
          <w:tab w:val="left" w:pos="993"/>
          <w:tab w:val="left" w:pos="1560"/>
        </w:tabs>
        <w:suppressAutoHyphens/>
        <w:spacing w:after="0" w:line="276" w:lineRule="auto"/>
        <w:ind w:left="0" w:right="-285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Кодексом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системи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передачі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затвердженого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постановою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Національної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комісії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регулювання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електроенергетики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та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комунальних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послуг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України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від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14.03.2018 № 309;</w:t>
      </w:r>
    </w:p>
    <w:p w:rsidR="00D12571" w:rsidRPr="00FA575D" w:rsidRDefault="00D12571" w:rsidP="00D12571">
      <w:pPr>
        <w:numPr>
          <w:ilvl w:val="0"/>
          <w:numId w:val="9"/>
        </w:numPr>
        <w:tabs>
          <w:tab w:val="left" w:pos="426"/>
          <w:tab w:val="left" w:pos="708"/>
          <w:tab w:val="left" w:pos="993"/>
          <w:tab w:val="left" w:pos="1560"/>
        </w:tabs>
        <w:suppressAutoHyphens/>
        <w:spacing w:after="0" w:line="276" w:lineRule="auto"/>
        <w:ind w:left="0" w:right="-285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Законом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України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від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13.04.2017 № 2019-VIII «Про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ринок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електричної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енергії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D12571" w:rsidRPr="00FA575D" w:rsidRDefault="00D12571" w:rsidP="00D12571">
      <w:pPr>
        <w:numPr>
          <w:ilvl w:val="0"/>
          <w:numId w:val="9"/>
        </w:numPr>
        <w:tabs>
          <w:tab w:val="left" w:pos="426"/>
          <w:tab w:val="left" w:pos="708"/>
          <w:tab w:val="left" w:pos="993"/>
          <w:tab w:val="left" w:pos="1560"/>
        </w:tabs>
        <w:suppressAutoHyphens/>
        <w:spacing w:after="0" w:line="276" w:lineRule="auto"/>
        <w:ind w:left="0" w:right="-285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Правилами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роздрібного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ринку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електричної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енергії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затвердженими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постановою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Національної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комісії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регулювання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електроенергетики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та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комунальних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послуг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України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від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14.03.2018 № 312;</w:t>
      </w:r>
    </w:p>
    <w:p w:rsidR="00D12571" w:rsidRPr="00FA575D" w:rsidRDefault="00D12571" w:rsidP="00D12571">
      <w:pPr>
        <w:numPr>
          <w:ilvl w:val="0"/>
          <w:numId w:val="9"/>
        </w:numPr>
        <w:tabs>
          <w:tab w:val="left" w:pos="426"/>
          <w:tab w:val="left" w:pos="708"/>
          <w:tab w:val="left" w:pos="993"/>
          <w:tab w:val="left" w:pos="1560"/>
        </w:tabs>
        <w:suppressAutoHyphens/>
        <w:spacing w:after="0" w:line="276" w:lineRule="auto"/>
        <w:ind w:left="0" w:right="-285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Закон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України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«Про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публічні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закупівлі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D12571" w:rsidRPr="00FA575D" w:rsidRDefault="00D12571" w:rsidP="00D12571">
      <w:pPr>
        <w:numPr>
          <w:ilvl w:val="0"/>
          <w:numId w:val="9"/>
        </w:numPr>
        <w:tabs>
          <w:tab w:val="left" w:pos="426"/>
          <w:tab w:val="left" w:pos="708"/>
          <w:tab w:val="left" w:pos="993"/>
          <w:tab w:val="left" w:pos="1560"/>
        </w:tabs>
        <w:suppressAutoHyphens/>
        <w:spacing w:after="0" w:line="276" w:lineRule="auto"/>
        <w:ind w:left="0" w:right="-285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Правила ринку «на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добу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наперед» на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внутрішньодобовому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ринку, Правила ринку та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іншими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нормативними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актами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прийнятими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виконання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Закону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України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«Про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ринок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електричної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енергії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D12571" w:rsidRPr="00FA575D" w:rsidRDefault="00D12571" w:rsidP="00D12571">
      <w:pPr>
        <w:numPr>
          <w:ilvl w:val="0"/>
          <w:numId w:val="9"/>
        </w:numPr>
        <w:tabs>
          <w:tab w:val="left" w:pos="284"/>
          <w:tab w:val="left" w:pos="708"/>
        </w:tabs>
        <w:suppressAutoHyphens/>
        <w:spacing w:after="0" w:line="276" w:lineRule="auto"/>
        <w:ind w:left="0" w:right="-285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Постановою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НКРЕКП</w:t>
      </w:r>
      <w:r w:rsidRPr="00FA575D">
        <w:rPr>
          <w:rFonts w:ascii="Times New Roman" w:hAnsi="Times New Roman" w:cs="Times New Roman"/>
          <w:sz w:val="24"/>
          <w:szCs w:val="24"/>
          <w:lang w:eastAsia="en-US"/>
        </w:rPr>
        <w:tab/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від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14.03.2018 № 307 «Про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затвердження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Правил ринку»; </w:t>
      </w:r>
    </w:p>
    <w:p w:rsidR="00D12571" w:rsidRPr="00FA575D" w:rsidRDefault="00D12571" w:rsidP="00D12571">
      <w:pPr>
        <w:numPr>
          <w:ilvl w:val="0"/>
          <w:numId w:val="9"/>
        </w:numPr>
        <w:tabs>
          <w:tab w:val="left" w:pos="284"/>
          <w:tab w:val="left" w:pos="708"/>
        </w:tabs>
        <w:suppressAutoHyphens/>
        <w:spacing w:after="0" w:line="276" w:lineRule="auto"/>
        <w:ind w:left="0" w:right="-285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Постановою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ab/>
        <w:t>НКРЕКП</w:t>
      </w:r>
      <w:r w:rsidRPr="00FA575D">
        <w:rPr>
          <w:rFonts w:ascii="Times New Roman" w:hAnsi="Times New Roman" w:cs="Times New Roman"/>
          <w:sz w:val="24"/>
          <w:szCs w:val="24"/>
          <w:lang w:eastAsia="en-US"/>
        </w:rPr>
        <w:tab/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від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27.12.2017 № 1469 «Про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затвердження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Ліцензійних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умов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провадження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ab/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господарської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діяльності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ab/>
        <w:t>з</w:t>
      </w:r>
      <w:r w:rsidRPr="00FA575D">
        <w:rPr>
          <w:rFonts w:ascii="Times New Roman" w:hAnsi="Times New Roman" w:cs="Times New Roman"/>
          <w:sz w:val="24"/>
          <w:szCs w:val="24"/>
          <w:lang w:eastAsia="en-US"/>
        </w:rPr>
        <w:tab/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постачання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ab/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електричної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ab/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енергії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споживачу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D12571" w:rsidRPr="00FA575D" w:rsidRDefault="00D12571" w:rsidP="00D12571">
      <w:pPr>
        <w:numPr>
          <w:ilvl w:val="0"/>
          <w:numId w:val="9"/>
        </w:numPr>
        <w:tabs>
          <w:tab w:val="left" w:pos="284"/>
          <w:tab w:val="left" w:pos="708"/>
        </w:tabs>
        <w:suppressAutoHyphens/>
        <w:spacing w:after="0" w:line="276" w:lineRule="auto"/>
        <w:ind w:left="0" w:right="-285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Іншими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нормативно-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правовими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актами,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прийнятими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виконання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Закону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України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«Про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ринок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електричної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енергії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D12571" w:rsidRPr="00FA575D" w:rsidRDefault="00D12571" w:rsidP="00D12571">
      <w:pPr>
        <w:tabs>
          <w:tab w:val="left" w:pos="993"/>
          <w:tab w:val="left" w:pos="1560"/>
        </w:tabs>
        <w:spacing w:after="0" w:line="276" w:lineRule="auto"/>
        <w:ind w:right="-285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12571" w:rsidRPr="00FA575D" w:rsidRDefault="00D12571" w:rsidP="00D12571">
      <w:pPr>
        <w:tabs>
          <w:tab w:val="left" w:pos="993"/>
          <w:tab w:val="left" w:pos="1560"/>
        </w:tabs>
        <w:spacing w:after="0" w:line="276" w:lineRule="auto"/>
        <w:ind w:right="-285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FA575D">
        <w:rPr>
          <w:rFonts w:ascii="Times New Roman" w:hAnsi="Times New Roman" w:cs="Times New Roman"/>
          <w:b/>
          <w:sz w:val="24"/>
          <w:szCs w:val="24"/>
          <w:lang w:eastAsia="en-US"/>
        </w:rPr>
        <w:t>Послуги</w:t>
      </w:r>
      <w:proofErr w:type="spellEnd"/>
      <w:r w:rsidRPr="00FA575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з </w:t>
      </w:r>
      <w:proofErr w:type="spellStart"/>
      <w:r w:rsidRPr="00FA575D">
        <w:rPr>
          <w:rFonts w:ascii="Times New Roman" w:hAnsi="Times New Roman" w:cs="Times New Roman"/>
          <w:b/>
          <w:sz w:val="24"/>
          <w:szCs w:val="24"/>
          <w:lang w:eastAsia="en-US"/>
        </w:rPr>
        <w:t>передачі</w:t>
      </w:r>
      <w:proofErr w:type="spellEnd"/>
      <w:r w:rsidRPr="00FA575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та </w:t>
      </w:r>
      <w:proofErr w:type="spellStart"/>
      <w:r w:rsidRPr="00FA575D">
        <w:rPr>
          <w:rFonts w:ascii="Times New Roman" w:hAnsi="Times New Roman" w:cs="Times New Roman"/>
          <w:b/>
          <w:sz w:val="24"/>
          <w:szCs w:val="24"/>
          <w:lang w:eastAsia="en-US"/>
        </w:rPr>
        <w:t>розподілу</w:t>
      </w:r>
      <w:proofErr w:type="spellEnd"/>
      <w:r w:rsidRPr="00FA575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b/>
          <w:sz w:val="24"/>
          <w:szCs w:val="24"/>
          <w:lang w:eastAsia="en-US"/>
        </w:rPr>
        <w:t>електричної</w:t>
      </w:r>
      <w:proofErr w:type="spellEnd"/>
      <w:r w:rsidRPr="00FA575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b/>
          <w:sz w:val="24"/>
          <w:szCs w:val="24"/>
          <w:lang w:eastAsia="en-US"/>
        </w:rPr>
        <w:t>енергії</w:t>
      </w:r>
      <w:proofErr w:type="spellEnd"/>
      <w:r w:rsidRPr="00FA575D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:rsidR="001F647F" w:rsidRPr="001F647F" w:rsidRDefault="001F647F" w:rsidP="001F647F">
      <w:pPr>
        <w:widowControl w:val="0"/>
        <w:tabs>
          <w:tab w:val="left" w:pos="1276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F647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До </w:t>
      </w:r>
      <w:proofErr w:type="spellStart"/>
      <w:r w:rsidRPr="001F647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ціни</w:t>
      </w:r>
      <w:proofErr w:type="spellEnd"/>
      <w:r w:rsidRPr="001F647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F647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пропозиції</w:t>
      </w:r>
      <w:proofErr w:type="spellEnd"/>
      <w:r w:rsidRPr="001F647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F647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учасник</w:t>
      </w:r>
      <w:proofErr w:type="spellEnd"/>
      <w:r w:rsidRPr="001F647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F647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зобов’язаний</w:t>
      </w:r>
      <w:proofErr w:type="spellEnd"/>
      <w:r w:rsidRPr="001F647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F647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включити</w:t>
      </w:r>
      <w:proofErr w:type="spellEnd"/>
      <w:r w:rsidRPr="001F647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F647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витрати</w:t>
      </w:r>
      <w:proofErr w:type="spellEnd"/>
      <w:r w:rsidRPr="001F647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на </w:t>
      </w:r>
      <w:proofErr w:type="spellStart"/>
      <w:r w:rsidRPr="001F647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послуги</w:t>
      </w:r>
      <w:proofErr w:type="spellEnd"/>
      <w:r w:rsidRPr="001F647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з </w:t>
      </w:r>
      <w:proofErr w:type="spellStart"/>
      <w:r w:rsidRPr="001F647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передачі</w:t>
      </w:r>
      <w:proofErr w:type="spellEnd"/>
      <w:r w:rsidRPr="001F647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F647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електричної</w:t>
      </w:r>
      <w:proofErr w:type="spellEnd"/>
      <w:r w:rsidRPr="001F647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F647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енергії</w:t>
      </w:r>
      <w:proofErr w:type="spellEnd"/>
      <w:r w:rsidRPr="001F647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за </w:t>
      </w:r>
      <w:proofErr w:type="spellStart"/>
      <w:r w:rsidRPr="001F647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регульованим</w:t>
      </w:r>
      <w:proofErr w:type="spellEnd"/>
      <w:r w:rsidRPr="001F647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тарифом та </w:t>
      </w:r>
      <w:proofErr w:type="spellStart"/>
      <w:r w:rsidRPr="001F647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послуги</w:t>
      </w:r>
      <w:proofErr w:type="spellEnd"/>
      <w:r w:rsidRPr="001F647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з </w:t>
      </w:r>
      <w:proofErr w:type="spellStart"/>
      <w:r w:rsidRPr="001F647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розподілу</w:t>
      </w:r>
      <w:proofErr w:type="spellEnd"/>
      <w:r w:rsidRPr="001F647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F647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електричної</w:t>
      </w:r>
      <w:proofErr w:type="spellEnd"/>
      <w:r w:rsidRPr="001F647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F647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енергії</w:t>
      </w:r>
      <w:proofErr w:type="spellEnd"/>
      <w:r w:rsidRPr="001F647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за </w:t>
      </w:r>
      <w:proofErr w:type="spellStart"/>
      <w:r w:rsidRPr="001F647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регульованим</w:t>
      </w:r>
      <w:proofErr w:type="spellEnd"/>
      <w:r w:rsidRPr="001F647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тарифом.</w:t>
      </w:r>
      <w:r w:rsidRPr="001F647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F647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Послуги</w:t>
      </w:r>
      <w:proofErr w:type="spellEnd"/>
      <w:r w:rsidRPr="001F647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з </w:t>
      </w:r>
      <w:proofErr w:type="spellStart"/>
      <w:r w:rsidRPr="001F647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розподілу</w:t>
      </w:r>
      <w:proofErr w:type="spellEnd"/>
      <w:r w:rsidRPr="001F647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F647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електричної</w:t>
      </w:r>
      <w:proofErr w:type="spellEnd"/>
      <w:r w:rsidRPr="001F647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F647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енергії</w:t>
      </w:r>
      <w:proofErr w:type="spellEnd"/>
      <w:r w:rsidRPr="001F647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F647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сплачуються</w:t>
      </w:r>
      <w:proofErr w:type="spellEnd"/>
      <w:r w:rsidRPr="001F647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F647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Постачальником</w:t>
      </w:r>
      <w:proofErr w:type="spellEnd"/>
      <w:r w:rsidRPr="001F647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. </w:t>
      </w:r>
    </w:p>
    <w:p w:rsidR="001F647F" w:rsidRPr="001F647F" w:rsidRDefault="001F647F" w:rsidP="001F64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zh-CN" w:bidi="hi-IN"/>
        </w:rPr>
      </w:pPr>
    </w:p>
    <w:p w:rsidR="00D12571" w:rsidRPr="00FA575D" w:rsidRDefault="00D12571" w:rsidP="00D12571">
      <w:pPr>
        <w:spacing w:before="240" w:after="0" w:line="276" w:lineRule="auto"/>
        <w:ind w:right="-285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FA575D">
        <w:rPr>
          <w:rFonts w:ascii="Times New Roman" w:hAnsi="Times New Roman" w:cs="Times New Roman"/>
          <w:b/>
          <w:sz w:val="24"/>
          <w:szCs w:val="24"/>
          <w:lang w:eastAsia="en-US"/>
        </w:rPr>
        <w:t>Вимоги</w:t>
      </w:r>
      <w:proofErr w:type="spellEnd"/>
      <w:r w:rsidRPr="00FA575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b/>
          <w:sz w:val="24"/>
          <w:szCs w:val="24"/>
          <w:lang w:eastAsia="en-US"/>
        </w:rPr>
        <w:t>щодо</w:t>
      </w:r>
      <w:proofErr w:type="spellEnd"/>
      <w:r w:rsidRPr="00FA575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b/>
          <w:sz w:val="24"/>
          <w:szCs w:val="24"/>
          <w:lang w:eastAsia="en-US"/>
        </w:rPr>
        <w:t>якості</w:t>
      </w:r>
      <w:proofErr w:type="spellEnd"/>
      <w:r w:rsidRPr="00FA575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b/>
          <w:sz w:val="24"/>
          <w:szCs w:val="24"/>
          <w:lang w:eastAsia="en-US"/>
        </w:rPr>
        <w:t>електричної</w:t>
      </w:r>
      <w:proofErr w:type="spellEnd"/>
      <w:r w:rsidRPr="00FA575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b/>
          <w:sz w:val="24"/>
          <w:szCs w:val="24"/>
          <w:lang w:eastAsia="en-US"/>
        </w:rPr>
        <w:t>енергії</w:t>
      </w:r>
      <w:proofErr w:type="spellEnd"/>
      <w:r w:rsidRPr="00FA575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D12571" w:rsidRPr="00FA575D" w:rsidRDefault="00D12571" w:rsidP="00D12571">
      <w:pPr>
        <w:spacing w:line="276" w:lineRule="auto"/>
        <w:ind w:right="-28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Параметри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якості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електричної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енергії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в точках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приєднання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Споживача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у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нормальних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умовах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експлуатації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мають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відповідати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параметрам,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визначеним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у ДСТУ EN 50160:2014.Характеристики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напруги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електропостачання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електричних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мережах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загального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призначення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(EN 50160:2010, IDT).</w:t>
      </w:r>
    </w:p>
    <w:p w:rsidR="00D12571" w:rsidRPr="00FA575D" w:rsidRDefault="00D12571" w:rsidP="00D12571">
      <w:pPr>
        <w:spacing w:line="276" w:lineRule="auto"/>
        <w:ind w:right="-28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Оцінка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відповідності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показників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якості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електричної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енергії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проводиться на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проміжку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розрахункового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періоду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рівного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24 годинам.</w:t>
      </w:r>
    </w:p>
    <w:p w:rsidR="00D12571" w:rsidRPr="00E47F64" w:rsidRDefault="00D12571" w:rsidP="00D12571">
      <w:pPr>
        <w:spacing w:line="276" w:lineRule="auto"/>
        <w:ind w:right="-285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Під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час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здійснення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цієї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закупівлі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стосовно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технічних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якісних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характеристик предмета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закупівлі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передбачається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необхідність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застосування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заходів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із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захисту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довкілля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, в тому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числі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під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час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виконання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договору про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закупівлю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учасник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зобов’язується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дотримуватись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передбачених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чинним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законодавством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вимог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щодо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застосування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заходів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із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захисту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довкілля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, на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підтвердження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чого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він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повинен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надати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гарантійний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лист та для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підтвердження</w:t>
      </w:r>
      <w:proofErr w:type="spellEnd"/>
      <w:r w:rsidRPr="005941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41A4">
        <w:rPr>
          <w:rFonts w:ascii="Times New Roman" w:hAnsi="Times New Roman" w:cs="Times New Roman"/>
          <w:sz w:val="24"/>
          <w:szCs w:val="24"/>
          <w:lang w:eastAsia="en-US"/>
        </w:rPr>
        <w:t>цього</w:t>
      </w:r>
      <w:proofErr w:type="spellEnd"/>
      <w:r w:rsidRPr="00F11CA2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11CA2">
        <w:rPr>
          <w:rFonts w:ascii="Times New Roman" w:hAnsi="Times New Roman" w:cs="Times New Roman"/>
          <w:sz w:val="24"/>
          <w:szCs w:val="24"/>
          <w:lang w:eastAsia="en-US"/>
        </w:rPr>
        <w:t>учасник</w:t>
      </w:r>
      <w:proofErr w:type="spellEnd"/>
      <w:r w:rsidRPr="00F11CA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11CA2">
        <w:rPr>
          <w:rFonts w:ascii="Times New Roman" w:hAnsi="Times New Roman" w:cs="Times New Roman"/>
          <w:sz w:val="24"/>
          <w:szCs w:val="24"/>
          <w:lang w:eastAsia="en-US"/>
        </w:rPr>
        <w:t>надає</w:t>
      </w:r>
      <w:proofErr w:type="spellEnd"/>
      <w:r w:rsidRPr="00F11CA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11CA2">
        <w:rPr>
          <w:rFonts w:ascii="Times New Roman" w:hAnsi="Times New Roman" w:cs="Times New Roman"/>
          <w:sz w:val="24"/>
          <w:szCs w:val="24"/>
          <w:lang w:eastAsia="en-US"/>
        </w:rPr>
        <w:t>звіт</w:t>
      </w:r>
      <w:proofErr w:type="spellEnd"/>
      <w:r w:rsidRPr="00F11CA2">
        <w:rPr>
          <w:rFonts w:ascii="Times New Roman" w:hAnsi="Times New Roman" w:cs="Times New Roman"/>
          <w:sz w:val="24"/>
          <w:szCs w:val="24"/>
          <w:lang w:eastAsia="en-US"/>
        </w:rPr>
        <w:t xml:space="preserve"> про </w:t>
      </w:r>
      <w:proofErr w:type="spellStart"/>
      <w:r w:rsidRPr="00F11CA2">
        <w:rPr>
          <w:rFonts w:ascii="Times New Roman" w:hAnsi="Times New Roman" w:cs="Times New Roman"/>
          <w:sz w:val="24"/>
          <w:szCs w:val="24"/>
          <w:lang w:eastAsia="en-US"/>
        </w:rPr>
        <w:t>екологічний</w:t>
      </w:r>
      <w:proofErr w:type="spellEnd"/>
      <w:r w:rsidRPr="00F11CA2">
        <w:rPr>
          <w:rFonts w:ascii="Times New Roman" w:hAnsi="Times New Roman" w:cs="Times New Roman"/>
          <w:sz w:val="24"/>
          <w:szCs w:val="24"/>
          <w:lang w:eastAsia="en-US"/>
        </w:rPr>
        <w:t xml:space="preserve"> аудит, </w:t>
      </w:r>
      <w:proofErr w:type="spellStart"/>
      <w:r w:rsidRPr="00F11CA2">
        <w:rPr>
          <w:rFonts w:ascii="Times New Roman" w:hAnsi="Times New Roman" w:cs="Times New Roman"/>
          <w:sz w:val="24"/>
          <w:szCs w:val="24"/>
          <w:lang w:eastAsia="en-US"/>
        </w:rPr>
        <w:t>довідку</w:t>
      </w:r>
      <w:proofErr w:type="spellEnd"/>
      <w:r w:rsidRPr="00F11CA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11CA2">
        <w:rPr>
          <w:rFonts w:ascii="Times New Roman" w:hAnsi="Times New Roman" w:cs="Times New Roman"/>
          <w:sz w:val="24"/>
          <w:szCs w:val="24"/>
          <w:lang w:eastAsia="en-US"/>
        </w:rPr>
        <w:t>екологічного</w:t>
      </w:r>
      <w:proofErr w:type="spellEnd"/>
      <w:r w:rsidRPr="00F11CA2">
        <w:rPr>
          <w:rFonts w:ascii="Times New Roman" w:hAnsi="Times New Roman" w:cs="Times New Roman"/>
          <w:sz w:val="24"/>
          <w:szCs w:val="24"/>
          <w:lang w:eastAsia="en-US"/>
        </w:rPr>
        <w:t xml:space="preserve"> аудитора, та </w:t>
      </w:r>
      <w:proofErr w:type="spellStart"/>
      <w:r w:rsidRPr="00F11CA2">
        <w:rPr>
          <w:rFonts w:ascii="Times New Roman" w:hAnsi="Times New Roman" w:cs="Times New Roman"/>
          <w:sz w:val="24"/>
          <w:szCs w:val="24"/>
          <w:lang w:eastAsia="en-US"/>
        </w:rPr>
        <w:t>висновок</w:t>
      </w:r>
      <w:proofErr w:type="spellEnd"/>
      <w:r w:rsidRPr="00F11CA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11CA2">
        <w:rPr>
          <w:rFonts w:ascii="Times New Roman" w:hAnsi="Times New Roman" w:cs="Times New Roman"/>
          <w:sz w:val="24"/>
          <w:szCs w:val="24"/>
          <w:lang w:eastAsia="en-US"/>
        </w:rPr>
        <w:t>екологічного</w:t>
      </w:r>
      <w:proofErr w:type="spellEnd"/>
      <w:r w:rsidRPr="00F11CA2">
        <w:rPr>
          <w:rFonts w:ascii="Times New Roman" w:hAnsi="Times New Roman" w:cs="Times New Roman"/>
          <w:sz w:val="24"/>
          <w:szCs w:val="24"/>
          <w:lang w:eastAsia="en-US"/>
        </w:rPr>
        <w:t xml:space="preserve"> аудитора, </w:t>
      </w:r>
      <w:proofErr w:type="spellStart"/>
      <w:r w:rsidRPr="00F11CA2">
        <w:rPr>
          <w:rFonts w:ascii="Times New Roman" w:hAnsi="Times New Roman" w:cs="Times New Roman"/>
          <w:sz w:val="24"/>
          <w:szCs w:val="24"/>
          <w:lang w:eastAsia="en-US"/>
        </w:rPr>
        <w:t>що</w:t>
      </w:r>
      <w:proofErr w:type="spellEnd"/>
      <w:r w:rsidRPr="00F11CA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11CA2">
        <w:rPr>
          <w:rFonts w:ascii="Times New Roman" w:hAnsi="Times New Roman" w:cs="Times New Roman"/>
          <w:sz w:val="24"/>
          <w:szCs w:val="24"/>
          <w:lang w:eastAsia="en-US"/>
        </w:rPr>
        <w:t>стосуються</w:t>
      </w:r>
      <w:proofErr w:type="spellEnd"/>
      <w:r w:rsidRPr="00F11CA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11CA2">
        <w:rPr>
          <w:rFonts w:ascii="Times New Roman" w:hAnsi="Times New Roman" w:cs="Times New Roman"/>
          <w:sz w:val="24"/>
          <w:szCs w:val="24"/>
          <w:lang w:eastAsia="en-US"/>
        </w:rPr>
        <w:t>його</w:t>
      </w:r>
      <w:proofErr w:type="spellEnd"/>
      <w:r w:rsidRPr="00F11CA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11CA2">
        <w:rPr>
          <w:rFonts w:ascii="Times New Roman" w:hAnsi="Times New Roman" w:cs="Times New Roman"/>
          <w:sz w:val="24"/>
          <w:szCs w:val="24"/>
          <w:lang w:eastAsia="en-US"/>
        </w:rPr>
        <w:t>діяльності</w:t>
      </w:r>
      <w:proofErr w:type="spellEnd"/>
      <w:r w:rsidRPr="00F11CA2">
        <w:rPr>
          <w:rFonts w:ascii="Times New Roman" w:hAnsi="Times New Roman" w:cs="Times New Roman"/>
          <w:sz w:val="24"/>
          <w:szCs w:val="24"/>
          <w:lang w:eastAsia="en-US"/>
        </w:rPr>
        <w:t xml:space="preserve">, та є </w:t>
      </w:r>
      <w:proofErr w:type="spellStart"/>
      <w:r w:rsidRPr="00F11CA2">
        <w:rPr>
          <w:rFonts w:ascii="Times New Roman" w:hAnsi="Times New Roman" w:cs="Times New Roman"/>
          <w:sz w:val="24"/>
          <w:szCs w:val="24"/>
          <w:lang w:eastAsia="en-US"/>
        </w:rPr>
        <w:t>чинним</w:t>
      </w:r>
      <w:proofErr w:type="spellEnd"/>
      <w:r w:rsidRPr="00F11CA2">
        <w:rPr>
          <w:rFonts w:ascii="Times New Roman" w:hAnsi="Times New Roman" w:cs="Times New Roman"/>
          <w:sz w:val="24"/>
          <w:szCs w:val="24"/>
          <w:lang w:eastAsia="en-US"/>
        </w:rPr>
        <w:t xml:space="preserve"> на момент </w:t>
      </w:r>
      <w:proofErr w:type="spellStart"/>
      <w:r w:rsidRPr="00F11CA2">
        <w:rPr>
          <w:rFonts w:ascii="Times New Roman" w:hAnsi="Times New Roman" w:cs="Times New Roman"/>
          <w:sz w:val="24"/>
          <w:szCs w:val="24"/>
          <w:lang w:eastAsia="en-US"/>
        </w:rPr>
        <w:t>проведення</w:t>
      </w:r>
      <w:proofErr w:type="spellEnd"/>
      <w:r w:rsidRPr="00F11CA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11CA2">
        <w:rPr>
          <w:rFonts w:ascii="Times New Roman" w:hAnsi="Times New Roman" w:cs="Times New Roman"/>
          <w:sz w:val="24"/>
          <w:szCs w:val="24"/>
          <w:lang w:eastAsia="en-US"/>
        </w:rPr>
        <w:t>закупівлі</w:t>
      </w:r>
      <w:proofErr w:type="spellEnd"/>
      <w:r w:rsidRPr="00F11CA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12571" w:rsidRPr="00FA575D" w:rsidRDefault="00D12571" w:rsidP="00D12571">
      <w:pPr>
        <w:spacing w:line="276" w:lineRule="auto"/>
        <w:ind w:right="-28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575D">
        <w:rPr>
          <w:rFonts w:ascii="Times New Roman" w:hAnsi="Times New Roman" w:cs="Times New Roman"/>
          <w:sz w:val="24"/>
          <w:szCs w:val="24"/>
          <w:lang w:eastAsia="en-US"/>
        </w:rPr>
        <w:tab/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Учасник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процедури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закупівлі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повинен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надати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дозвіл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або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ліцензію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провадження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певного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виду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господарської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діяльності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якщо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отримання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такого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дозволу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або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ліцензії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провадження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такого виду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діяльності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передбачено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A575D">
        <w:rPr>
          <w:rFonts w:ascii="Times New Roman" w:hAnsi="Times New Roman" w:cs="Times New Roman"/>
          <w:sz w:val="24"/>
          <w:szCs w:val="24"/>
          <w:lang w:eastAsia="en-US"/>
        </w:rPr>
        <w:t>законодавством</w:t>
      </w:r>
      <w:proofErr w:type="spellEnd"/>
      <w:r w:rsidRPr="00FA575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12571" w:rsidRPr="00FA575D" w:rsidRDefault="00D12571" w:rsidP="00D12571">
      <w:pPr>
        <w:shd w:val="clear" w:color="auto" w:fill="FFFFFF"/>
        <w:spacing w:after="0" w:line="276" w:lineRule="auto"/>
        <w:ind w:right="-285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</w:p>
    <w:p w:rsidR="00D12571" w:rsidRPr="00FA575D" w:rsidRDefault="00D12571" w:rsidP="00D12571">
      <w:pPr>
        <w:spacing w:after="200" w:line="276" w:lineRule="auto"/>
        <w:ind w:right="-285"/>
        <w:contextualSpacing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A575D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                 </w:t>
      </w:r>
    </w:p>
    <w:p w:rsidR="00BF7033" w:rsidRDefault="00BF7033" w:rsidP="00D12571">
      <w:pPr>
        <w:spacing w:after="0" w:line="240" w:lineRule="auto"/>
        <w:ind w:firstLine="720"/>
        <w:jc w:val="right"/>
        <w:rPr>
          <w:rFonts w:ascii="Roboto Condensed Light" w:hAnsi="Roboto Condensed Light"/>
          <w:b/>
          <w:sz w:val="24"/>
          <w:szCs w:val="24"/>
          <w:lang w:val="uk-UA"/>
        </w:rPr>
      </w:pPr>
    </w:p>
    <w:p w:rsidR="00BF7033" w:rsidRDefault="00BF7033" w:rsidP="00D12571">
      <w:pPr>
        <w:spacing w:after="0" w:line="240" w:lineRule="auto"/>
        <w:ind w:firstLine="720"/>
        <w:jc w:val="right"/>
        <w:rPr>
          <w:rFonts w:ascii="Roboto Condensed Light" w:hAnsi="Roboto Condensed Light"/>
          <w:b/>
          <w:sz w:val="24"/>
          <w:szCs w:val="24"/>
          <w:lang w:val="uk-UA"/>
        </w:rPr>
      </w:pPr>
    </w:p>
    <w:p w:rsidR="00BF7033" w:rsidRDefault="00BF7033" w:rsidP="00D12571">
      <w:pPr>
        <w:spacing w:after="0" w:line="240" w:lineRule="auto"/>
        <w:ind w:firstLine="720"/>
        <w:jc w:val="right"/>
        <w:rPr>
          <w:rFonts w:ascii="Roboto Condensed Light" w:hAnsi="Roboto Condensed Light"/>
          <w:b/>
          <w:sz w:val="24"/>
          <w:szCs w:val="24"/>
          <w:lang w:val="uk-UA"/>
        </w:rPr>
      </w:pPr>
    </w:p>
    <w:p w:rsidR="00D12571" w:rsidRDefault="00D12571" w:rsidP="00D12571">
      <w:pPr>
        <w:spacing w:after="0"/>
        <w:ind w:right="-142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D12571" w:rsidRDefault="00D12571" w:rsidP="00D1257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12571" w:rsidRDefault="00D12571" w:rsidP="00D1257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12571" w:rsidSect="00DB59ED">
      <w:pgSz w:w="11906" w:h="16838"/>
      <w:pgMar w:top="568" w:right="850" w:bottom="426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Condensed Light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74" w:hanging="106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2E06939"/>
    <w:multiLevelType w:val="multilevel"/>
    <w:tmpl w:val="E202292C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lvlText w:val="%2."/>
      <w:lvlJc w:val="left"/>
      <w:pPr>
        <w:ind w:left="3065" w:hanging="360"/>
      </w:pPr>
    </w:lvl>
    <w:lvl w:ilvl="2">
      <w:start w:val="1"/>
      <w:numFmt w:val="decimal"/>
      <w:lvlText w:val="%3."/>
      <w:lvlJc w:val="left"/>
      <w:pPr>
        <w:ind w:left="3785" w:hanging="36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decimal"/>
      <w:lvlText w:val="%5."/>
      <w:lvlJc w:val="left"/>
      <w:pPr>
        <w:ind w:left="5225" w:hanging="360"/>
      </w:pPr>
    </w:lvl>
    <w:lvl w:ilvl="5">
      <w:start w:val="1"/>
      <w:numFmt w:val="decimal"/>
      <w:lvlText w:val="%6."/>
      <w:lvlJc w:val="left"/>
      <w:pPr>
        <w:ind w:left="5945" w:hanging="36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decimal"/>
      <w:lvlText w:val="%8."/>
      <w:lvlJc w:val="left"/>
      <w:pPr>
        <w:ind w:left="7385" w:hanging="360"/>
      </w:pPr>
    </w:lvl>
    <w:lvl w:ilvl="8">
      <w:start w:val="1"/>
      <w:numFmt w:val="decimal"/>
      <w:lvlText w:val="%9."/>
      <w:lvlJc w:val="left"/>
      <w:pPr>
        <w:ind w:left="8105" w:hanging="360"/>
      </w:pPr>
    </w:lvl>
  </w:abstractNum>
  <w:abstractNum w:abstractNumId="2" w15:restartNumberingAfterBreak="0">
    <w:nsid w:val="39274F18"/>
    <w:multiLevelType w:val="multilevel"/>
    <w:tmpl w:val="0B68DD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E5A18"/>
    <w:multiLevelType w:val="hybridMultilevel"/>
    <w:tmpl w:val="1C5A0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91B02"/>
    <w:multiLevelType w:val="multilevel"/>
    <w:tmpl w:val="BC22D316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A5622"/>
    <w:multiLevelType w:val="hybridMultilevel"/>
    <w:tmpl w:val="7EDC3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750D5"/>
    <w:multiLevelType w:val="multilevel"/>
    <w:tmpl w:val="A6AA79BE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7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27076"/>
    <w:multiLevelType w:val="hybridMultilevel"/>
    <w:tmpl w:val="E9C4AE94"/>
    <w:lvl w:ilvl="0" w:tplc="0A246B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E7C96"/>
    <w:multiLevelType w:val="hybridMultilevel"/>
    <w:tmpl w:val="B81EFE62"/>
    <w:lvl w:ilvl="0" w:tplc="84621422">
      <w:start w:val="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D3802"/>
    <w:multiLevelType w:val="hybridMultilevel"/>
    <w:tmpl w:val="E146F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F4"/>
    <w:rsid w:val="00016CD9"/>
    <w:rsid w:val="000919FE"/>
    <w:rsid w:val="000F3CED"/>
    <w:rsid w:val="00185FA3"/>
    <w:rsid w:val="001A63C7"/>
    <w:rsid w:val="001F647F"/>
    <w:rsid w:val="00285077"/>
    <w:rsid w:val="002D374A"/>
    <w:rsid w:val="00362EBC"/>
    <w:rsid w:val="00373407"/>
    <w:rsid w:val="00386E7D"/>
    <w:rsid w:val="00392060"/>
    <w:rsid w:val="00405EEB"/>
    <w:rsid w:val="00406F78"/>
    <w:rsid w:val="00421F30"/>
    <w:rsid w:val="00544D9B"/>
    <w:rsid w:val="00572446"/>
    <w:rsid w:val="00633668"/>
    <w:rsid w:val="006817F4"/>
    <w:rsid w:val="0074729A"/>
    <w:rsid w:val="00831E1A"/>
    <w:rsid w:val="00876E5D"/>
    <w:rsid w:val="0089202C"/>
    <w:rsid w:val="00896A28"/>
    <w:rsid w:val="008C1558"/>
    <w:rsid w:val="008D0F5C"/>
    <w:rsid w:val="008E6E40"/>
    <w:rsid w:val="009F1016"/>
    <w:rsid w:val="00A036E4"/>
    <w:rsid w:val="00A14DF4"/>
    <w:rsid w:val="00A27A45"/>
    <w:rsid w:val="00AA497F"/>
    <w:rsid w:val="00B2016C"/>
    <w:rsid w:val="00BF7033"/>
    <w:rsid w:val="00C7686D"/>
    <w:rsid w:val="00CF7C0D"/>
    <w:rsid w:val="00D12571"/>
    <w:rsid w:val="00DB59ED"/>
    <w:rsid w:val="00DC509F"/>
    <w:rsid w:val="00DD30F3"/>
    <w:rsid w:val="00E42FBD"/>
    <w:rsid w:val="00E84A58"/>
    <w:rsid w:val="00EB4055"/>
    <w:rsid w:val="00F72555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39AB"/>
  <w15:docId w15:val="{FA185AD9-C8F6-425A-8211-7C15988A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aliases w:val="Знак Знак3,Знак2"/>
    <w:basedOn w:val="a"/>
    <w:link w:val="a5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7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0">
    <w:name w:val="Table Grid"/>
    <w:basedOn w:val="a1"/>
    <w:uiPriority w:val="39"/>
    <w:rsid w:val="001A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362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2EBC"/>
    <w:rPr>
      <w:rFonts w:ascii="Segoe UI" w:hAnsi="Segoe UI" w:cs="Segoe UI"/>
      <w:sz w:val="18"/>
      <w:szCs w:val="18"/>
    </w:rPr>
  </w:style>
  <w:style w:type="character" w:customStyle="1" w:styleId="a5">
    <w:name w:val="Обычный (веб) Знак"/>
    <w:aliases w:val="Знак Знак3 Знак,Знак2 Знак"/>
    <w:link w:val="a4"/>
    <w:uiPriority w:val="99"/>
    <w:locked/>
    <w:rsid w:val="00D12571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вичайний1"/>
    <w:rsid w:val="00D12571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AMUW2mXp4yolAPuZU5zqY95z1b4EL4S6bHMvvwPl66QbgtaIRc6oOD2TiYXET4yjSEc5M1WCkqv+vBk/0TFjSUA6taCvPOshDBC4AvmRCyf/R5w5DasYZl4ICV+Vm+nSKWB6iGW7tcBiVKpiG8kTSWmZ9T7thlNczJ68sJiAum/OfwwnpyuITZkHRyw65/HkhCLvp4bKYi1zCdm0V4MFAstz1HerNP5spA==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</cp:lastModifiedBy>
  <cp:revision>6</cp:revision>
  <cp:lastPrinted>2023-01-04T08:52:00Z</cp:lastPrinted>
  <dcterms:created xsi:type="dcterms:W3CDTF">2023-01-02T14:09:00Z</dcterms:created>
  <dcterms:modified xsi:type="dcterms:W3CDTF">2023-01-10T14:39:00Z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e0dd961a120ba4a6097c9a4cc5d312c593285d021d433b8d6199a24490549173</vt:lpwstr>
  </property>
</Properties>
</file>