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1</w:t>
      </w:r>
    </w:p>
    <w:p w:rsidR="00000000" w:rsidDel="00000000" w:rsidP="00000000" w:rsidRDefault="00000000" w:rsidRPr="00000000" w14:paraId="00000002">
      <w:pPr>
        <w:spacing w:line="276"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03">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24 січня 2023 року № 05/01-В</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Перелік змін, що вносяться до пункту 1 Розділу 3 Тендерної документації</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120"/>
        <w:tblGridChange w:id="0">
          <w:tblGrid>
            <w:gridCol w:w="288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Зміст і спосіб подання тендерної пропозиції</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Del="00000000" w:rsidR="00000000" w:rsidRPr="00000000">
              <w:rPr>
                <w:rFonts w:ascii="Times New Roman" w:cs="Times New Roman" w:eastAsia="Times New Roman" w:hAnsi="Times New Roman"/>
                <w:b w:val="1"/>
                <w:sz w:val="24"/>
                <w:szCs w:val="24"/>
                <w:rtl w:val="0"/>
              </w:rPr>
              <w:t xml:space="preserve">з урахуванням вартості послуг з розподілу електричної енергії.</w:t>
            </w:r>
          </w:p>
          <w:p w:rsidR="00000000" w:rsidDel="00000000" w:rsidP="00000000" w:rsidRDefault="00000000" w:rsidRPr="00000000" w14:paraId="0000000C">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000000" w:rsidDel="00000000" w:rsidP="00000000" w:rsidRDefault="00000000" w:rsidRPr="00000000" w14:paraId="0000000D">
            <w:pPr>
              <w:widowControl w:val="0"/>
              <w:numPr>
                <w:ilvl w:val="0"/>
                <w:numId w:val="2"/>
              </w:numPr>
              <w:spacing w:after="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інформацією, що підтверджує відповідність учасника кваліфікаційним (кваліфікаційному) критеріям – </w:t>
            </w:r>
            <w:r w:rsidDel="00000000" w:rsidR="00000000" w:rsidRPr="00000000">
              <w:rPr>
                <w:rFonts w:ascii="Times New Roman" w:cs="Times New Roman" w:eastAsia="Times New Roman" w:hAnsi="Times New Roman"/>
                <w:b w:val="1"/>
                <w:i w:val="1"/>
                <w:sz w:val="24"/>
                <w:szCs w:val="24"/>
                <w:rtl w:val="0"/>
              </w:rPr>
              <w:t xml:space="preserve">згідно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Додатку 1</w:t>
            </w:r>
            <w:r w:rsidDel="00000000" w:rsidR="00000000" w:rsidRPr="00000000">
              <w:rPr>
                <w:rFonts w:ascii="Times New Roman" w:cs="Times New Roman" w:eastAsia="Times New Roman" w:hAnsi="Times New Roman"/>
                <w:sz w:val="24"/>
                <w:szCs w:val="24"/>
                <w:rtl w:val="0"/>
              </w:rPr>
              <w:t xml:space="preserve"> до цієї тендерної документації;</w:t>
            </w:r>
          </w:p>
          <w:p w:rsidR="00000000" w:rsidDel="00000000" w:rsidP="00000000" w:rsidRDefault="00000000" w:rsidRPr="00000000" w14:paraId="0000000E">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інформацією щодо відсутності підстав, установлених у статті 17 Закону – згідно </w:t>
            </w:r>
            <w:r w:rsidDel="00000000" w:rsidR="00000000" w:rsidRPr="00000000">
              <w:rPr>
                <w:rFonts w:ascii="Times New Roman" w:cs="Times New Roman" w:eastAsia="Times New Roman" w:hAnsi="Times New Roman"/>
                <w:b w:val="1"/>
                <w:i w:val="1"/>
                <w:sz w:val="24"/>
                <w:szCs w:val="24"/>
                <w:rtl w:val="0"/>
              </w:rPr>
              <w:t xml:space="preserve">Додатку 1 </w:t>
            </w:r>
            <w:r w:rsidDel="00000000" w:rsidR="00000000" w:rsidRPr="00000000">
              <w:rPr>
                <w:rFonts w:ascii="Times New Roman" w:cs="Times New Roman" w:eastAsia="Times New Roman" w:hAnsi="Times New Roman"/>
                <w:sz w:val="24"/>
                <w:szCs w:val="24"/>
                <w:rtl w:val="0"/>
              </w:rPr>
              <w:t xml:space="preserve">до цієї тендерної документації;</w:t>
            </w:r>
          </w:p>
          <w:p w:rsidR="00000000" w:rsidDel="00000000" w:rsidP="00000000" w:rsidRDefault="00000000" w:rsidRPr="00000000" w14:paraId="0000000F">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тендерна пропозиція, за формою, наведеною в </w:t>
            </w:r>
            <w:r w:rsidDel="00000000" w:rsidR="00000000" w:rsidRPr="00000000">
              <w:rPr>
                <w:rFonts w:ascii="Times New Roman" w:cs="Times New Roman" w:eastAsia="Times New Roman" w:hAnsi="Times New Roman"/>
                <w:b w:val="1"/>
                <w:i w:val="1"/>
                <w:sz w:val="24"/>
                <w:szCs w:val="24"/>
                <w:rtl w:val="0"/>
              </w:rPr>
              <w:t xml:space="preserve">Додатку № 2</w:t>
            </w:r>
            <w:r w:rsidDel="00000000" w:rsidR="00000000" w:rsidRPr="00000000">
              <w:rPr>
                <w:rFonts w:ascii="Times New Roman" w:cs="Times New Roman" w:eastAsia="Times New Roman" w:hAnsi="Times New Roman"/>
                <w:sz w:val="24"/>
                <w:szCs w:val="24"/>
                <w:rtl w:val="0"/>
              </w:rPr>
              <w:t xml:space="preserve"> до цієї тендерної документації;</w:t>
            </w:r>
          </w:p>
          <w:p w:rsidR="00000000" w:rsidDel="00000000" w:rsidP="00000000" w:rsidRDefault="00000000" w:rsidRPr="00000000" w14:paraId="00000010">
            <w:pPr>
              <w:widowControl w:val="0"/>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інформації про необхідні технічні, якісні та кількісні характеристики предмета закупівлі, а саме технічну характеристику товару згідно </w:t>
            </w:r>
            <w:r w:rsidDel="00000000" w:rsidR="00000000" w:rsidRPr="00000000">
              <w:rPr>
                <w:rFonts w:ascii="Times New Roman" w:cs="Times New Roman" w:eastAsia="Times New Roman" w:hAnsi="Times New Roman"/>
                <w:b w:val="1"/>
                <w:i w:val="1"/>
                <w:sz w:val="24"/>
                <w:szCs w:val="24"/>
                <w:rtl w:val="0"/>
              </w:rPr>
              <w:t xml:space="preserve">Додатку 3</w:t>
            </w:r>
            <w:r w:rsidDel="00000000" w:rsidR="00000000" w:rsidRPr="00000000">
              <w:rPr>
                <w:rFonts w:ascii="Times New Roman" w:cs="Times New Roman" w:eastAsia="Times New Roman" w:hAnsi="Times New Roman"/>
                <w:sz w:val="24"/>
                <w:szCs w:val="24"/>
                <w:rtl w:val="0"/>
              </w:rPr>
              <w:t xml:space="preserve"> до цієї тендерної документації;</w:t>
            </w:r>
          </w:p>
          <w:p w:rsidR="00000000" w:rsidDel="00000000" w:rsidP="00000000" w:rsidRDefault="00000000" w:rsidRPr="00000000" w14:paraId="00000011">
            <w:pPr>
              <w:widowControl w:val="0"/>
              <w:numPr>
                <w:ilvl w:val="0"/>
                <w:numId w:val="2"/>
              </w:numPr>
              <w:spacing w:after="24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іншою інформацією та документами, відповідно до вимог цієї тендерної документації та додатків до неї.</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/текст далі - без змін/</w:t>
            </w:r>
          </w:p>
        </w:tc>
      </w:tr>
    </w:tbl>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120"/>
        <w:tblGridChange w:id="0">
          <w:tblGrid>
            <w:gridCol w:w="2880"/>
            <w:gridCol w:w="6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Зміст і спосіб подання тендерної пропозиції</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24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Вартість тендерної пропозиції розраховується учасником включно із затвердженим у встановленому законодавством порядку тарифу на послуги з передачі електричної енергії та </w:t>
            </w:r>
            <w:r w:rsidDel="00000000" w:rsidR="00000000" w:rsidRPr="00000000">
              <w:rPr>
                <w:rFonts w:ascii="Times New Roman" w:cs="Times New Roman" w:eastAsia="Times New Roman" w:hAnsi="Times New Roman"/>
                <w:b w:val="1"/>
                <w:sz w:val="24"/>
                <w:szCs w:val="24"/>
                <w:rtl w:val="0"/>
              </w:rPr>
              <w:t xml:space="preserve">з урахуванням вартості послуг з розподілу електричної енергії.</w:t>
            </w:r>
          </w:p>
          <w:p w:rsidR="00000000" w:rsidDel="00000000" w:rsidP="00000000" w:rsidRDefault="00000000" w:rsidRPr="00000000" w14:paraId="00000018">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000000" w:rsidDel="00000000" w:rsidP="00000000" w:rsidRDefault="00000000" w:rsidRPr="00000000" w14:paraId="00000019">
            <w:pPr>
              <w:widowControl w:val="0"/>
              <w:numPr>
                <w:ilvl w:val="0"/>
                <w:numId w:val="4"/>
              </w:numPr>
              <w:spacing w:after="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інформацією, що підтверджує відповідність учасника кваліфікаційним (кваліфікаційному) критеріям – </w:t>
            </w:r>
            <w:r w:rsidDel="00000000" w:rsidR="00000000" w:rsidRPr="00000000">
              <w:rPr>
                <w:rFonts w:ascii="Times New Roman" w:cs="Times New Roman" w:eastAsia="Times New Roman" w:hAnsi="Times New Roman"/>
                <w:b w:val="1"/>
                <w:i w:val="1"/>
                <w:sz w:val="24"/>
                <w:szCs w:val="24"/>
                <w:rtl w:val="0"/>
              </w:rPr>
              <w:t xml:space="preserve">згідно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Додатку 1</w:t>
            </w:r>
            <w:r w:rsidDel="00000000" w:rsidR="00000000" w:rsidRPr="00000000">
              <w:rPr>
                <w:rFonts w:ascii="Times New Roman" w:cs="Times New Roman" w:eastAsia="Times New Roman" w:hAnsi="Times New Roman"/>
                <w:sz w:val="24"/>
                <w:szCs w:val="24"/>
                <w:rtl w:val="0"/>
              </w:rPr>
              <w:t xml:space="preserve"> до цієї тендерної документації;</w:t>
            </w:r>
          </w:p>
          <w:p w:rsidR="00000000" w:rsidDel="00000000" w:rsidP="00000000" w:rsidRDefault="00000000" w:rsidRPr="00000000" w14:paraId="0000001A">
            <w:pPr>
              <w:widowControl w:val="0"/>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за формою, наведеною в </w:t>
            </w:r>
            <w:r w:rsidDel="00000000" w:rsidR="00000000" w:rsidRPr="00000000">
              <w:rPr>
                <w:rFonts w:ascii="Times New Roman" w:cs="Times New Roman" w:eastAsia="Times New Roman" w:hAnsi="Times New Roman"/>
                <w:b w:val="1"/>
                <w:i w:val="1"/>
                <w:sz w:val="24"/>
                <w:szCs w:val="24"/>
                <w:rtl w:val="0"/>
              </w:rPr>
              <w:t xml:space="preserve">Додатку № 2</w:t>
            </w:r>
            <w:r w:rsidDel="00000000" w:rsidR="00000000" w:rsidRPr="00000000">
              <w:rPr>
                <w:rFonts w:ascii="Times New Roman" w:cs="Times New Roman" w:eastAsia="Times New Roman" w:hAnsi="Times New Roman"/>
                <w:sz w:val="24"/>
                <w:szCs w:val="24"/>
                <w:rtl w:val="0"/>
              </w:rPr>
              <w:t xml:space="preserve"> до цієї тендерної документації;</w:t>
            </w:r>
          </w:p>
          <w:p w:rsidR="00000000" w:rsidDel="00000000" w:rsidP="00000000" w:rsidRDefault="00000000" w:rsidRPr="00000000" w14:paraId="0000001B">
            <w:pPr>
              <w:widowControl w:val="0"/>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 гарантія в довільній формі про постачання необхідної кількості товару встановленої потужності, у відповідності до вимог </w:t>
            </w:r>
            <w:r w:rsidDel="00000000" w:rsidR="00000000" w:rsidRPr="00000000">
              <w:rPr>
                <w:rFonts w:ascii="Times New Roman" w:cs="Times New Roman" w:eastAsia="Times New Roman" w:hAnsi="Times New Roman"/>
                <w:b w:val="1"/>
                <w:i w:val="1"/>
                <w:sz w:val="24"/>
                <w:szCs w:val="24"/>
                <w:rtl w:val="0"/>
              </w:rPr>
              <w:t xml:space="preserve">Додатку 3</w:t>
            </w:r>
            <w:r w:rsidDel="00000000" w:rsidR="00000000" w:rsidRPr="00000000">
              <w:rPr>
                <w:rFonts w:ascii="Times New Roman" w:cs="Times New Roman" w:eastAsia="Times New Roman" w:hAnsi="Times New Roman"/>
                <w:sz w:val="24"/>
                <w:szCs w:val="24"/>
                <w:rtl w:val="0"/>
              </w:rPr>
              <w:t xml:space="preserve"> до Документації.</w:t>
            </w:r>
          </w:p>
          <w:p w:rsidR="00000000" w:rsidDel="00000000" w:rsidP="00000000" w:rsidRDefault="00000000" w:rsidRPr="00000000" w14:paraId="0000001C">
            <w:pPr>
              <w:widowControl w:val="0"/>
              <w:numPr>
                <w:ilvl w:val="0"/>
                <w:numId w:val="4"/>
              </w:numPr>
              <w:spacing w:after="24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іншою інформацією та документами, відповідно до вимог цієї тендерної документації та додатків до неї.</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/текст далі - без змін/</w:t>
            </w:r>
          </w:p>
        </w:tc>
      </w:tr>
    </w:tbl>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2</w:t>
      </w:r>
    </w:p>
    <w:p w:rsidR="00000000" w:rsidDel="00000000" w:rsidP="00000000" w:rsidRDefault="00000000" w:rsidRPr="00000000" w14:paraId="00000021">
      <w:pPr>
        <w:spacing w:line="276"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22">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24 січня 2023 року № 05/01-В</w:t>
      </w:r>
      <w:r w:rsidDel="00000000" w:rsidR="00000000" w:rsidRPr="00000000">
        <w:rPr>
          <w:rtl w:val="0"/>
        </w:rPr>
      </w:r>
    </w:p>
    <w:p w:rsidR="00000000" w:rsidDel="00000000" w:rsidP="00000000" w:rsidRDefault="00000000" w:rsidRPr="00000000" w14:paraId="0000002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змін, що вносяться до пункту 4 Розділу 3 Тендерної документації</w:t>
      </w:r>
    </w:p>
    <w:p w:rsidR="00000000" w:rsidDel="00000000" w:rsidP="00000000" w:rsidRDefault="00000000" w:rsidRPr="00000000" w14:paraId="00000025">
      <w:pPr>
        <w:spacing w:line="276" w:lineRule="auto"/>
        <w:jc w:val="center"/>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26">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Вимоги, установлені статтею 17 Закону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Учасником має бути документально підтверджена інформація про відповідність пропозиції учасника вимогам, визначеним у статті 17 Закону згідно з додатком 1 до тендерної документації.</w:t>
            </w:r>
          </w:p>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bl>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Вимоги, встановлені статтею 17 Закону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w:t>
            </w:r>
            <w:r w:rsidDel="00000000" w:rsidR="00000000" w:rsidRPr="00000000">
              <w:rPr>
                <w:rFonts w:ascii="Times New Roman" w:cs="Times New Roman" w:eastAsia="Times New Roman" w:hAnsi="Times New Roman"/>
                <w:b w:val="1"/>
                <w:sz w:val="24"/>
                <w:szCs w:val="24"/>
                <w:rtl w:val="0"/>
              </w:rPr>
              <w:t xml:space="preserve">Додатку № 1</w:t>
            </w:r>
            <w:r w:rsidDel="00000000" w:rsidR="00000000" w:rsidRPr="00000000">
              <w:rPr>
                <w:rFonts w:ascii="Times New Roman" w:cs="Times New Roman" w:eastAsia="Times New Roman" w:hAnsi="Times New Roman"/>
                <w:sz w:val="24"/>
                <w:szCs w:val="24"/>
                <w:rtl w:val="0"/>
              </w:rPr>
              <w:t xml:space="preserve"> (документи для підтвердження відповідності переможця вимогам, визначеним у статті 17 Закону).</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00000" w:rsidDel="00000000" w:rsidP="00000000" w:rsidRDefault="00000000" w:rsidRPr="00000000" w14:paraId="0000003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03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tc>
      </w:tr>
    </w:tbl>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3</w:t>
      </w:r>
    </w:p>
    <w:p w:rsidR="00000000" w:rsidDel="00000000" w:rsidP="00000000" w:rsidRDefault="00000000" w:rsidRPr="00000000" w14:paraId="00000039">
      <w:pPr>
        <w:spacing w:line="276"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3A">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24 січня 2023 року № 05/01-В</w:t>
      </w:r>
      <w:r w:rsidDel="00000000" w:rsidR="00000000" w:rsidRPr="00000000">
        <w:rPr>
          <w:rtl w:val="0"/>
        </w:rPr>
      </w:r>
    </w:p>
    <w:p w:rsidR="00000000" w:rsidDel="00000000" w:rsidP="00000000" w:rsidRDefault="00000000" w:rsidRPr="00000000" w14:paraId="0000003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змін, що вносяться до Додатку 1 до Тендерної документації</w:t>
      </w:r>
    </w:p>
    <w:p w:rsidR="00000000" w:rsidDel="00000000" w:rsidP="00000000" w:rsidRDefault="00000000" w:rsidRPr="00000000" w14:paraId="0000003D">
      <w:pPr>
        <w:spacing w:line="276" w:lineRule="auto"/>
        <w:jc w:val="center"/>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3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5660" w:firstLine="70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ДОДАТОК 1</w:t>
      </w:r>
      <w:r w:rsidDel="00000000" w:rsidR="00000000" w:rsidRPr="00000000">
        <w:rPr>
          <w:rtl w:val="0"/>
        </w:rPr>
      </w:r>
    </w:p>
    <w:p w:rsidR="00000000" w:rsidDel="00000000" w:rsidP="00000000" w:rsidRDefault="00000000" w:rsidRPr="00000000" w14:paraId="00000043">
      <w:pPr>
        <w:spacing w:line="240" w:lineRule="auto"/>
        <w:ind w:left="5660" w:firstLine="70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тендерної документації </w:t>
      </w:r>
    </w:p>
    <w:p w:rsidR="00000000" w:rsidDel="00000000" w:rsidP="00000000" w:rsidRDefault="00000000" w:rsidRPr="00000000" w14:paraId="00000044">
      <w:pPr>
        <w:spacing w:line="240" w:lineRule="auto"/>
        <w:ind w:left="5660" w:firstLine="70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160" w:before="120" w:line="259"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ПЕРЕЛІК ДОКУМЕНТІВ, ЯКІ ВИМАГАЮТЬСЯ  ВІД УЧАСНИКА ДЛЯ ПІДТВЕРДЖЕННЯ  ВІДПОВІДНОСТІ  ПРОПОЗИЦІЇ УЧАСНИКА ВИМОГАМ ЗАМОВНИКА</w:t>
      </w:r>
    </w:p>
    <w:tbl>
      <w:tblPr>
        <w:tblStyle w:val="Table5"/>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9072"/>
        <w:tblGridChange w:id="0">
          <w:tblGrid>
            <w:gridCol w:w="670"/>
            <w:gridCol w:w="9072"/>
          </w:tblGrid>
        </w:tblGridChange>
      </w:tblGrid>
      <w:tr>
        <w:trPr>
          <w:cantSplit w:val="0"/>
          <w:trHeight w:val="457" w:hRule="atLeast"/>
          <w:tblHeader w:val="0"/>
        </w:trPr>
        <w:tc>
          <w:tcPr/>
          <w:p w:rsidR="00000000" w:rsidDel="00000000" w:rsidP="00000000" w:rsidRDefault="00000000" w:rsidRPr="00000000" w14:paraId="00000046">
            <w:pPr>
              <w:widowControl w:val="0"/>
              <w:tabs>
                <w:tab w:val="left" w:leader="none" w:pos="108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widowControl w:val="0"/>
              <w:tabs>
                <w:tab w:val="left" w:leader="none" w:pos="1080"/>
              </w:tabs>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p w:rsidR="00000000" w:rsidDel="00000000" w:rsidP="00000000" w:rsidRDefault="00000000" w:rsidRPr="00000000" w14:paraId="00000048">
            <w:pPr>
              <w:widowControl w:val="0"/>
              <w:tabs>
                <w:tab w:val="left" w:leader="none" w:pos="108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Документи, що надаються (завантажуються в Систему) Учасником</w:t>
            </w:r>
          </w:p>
        </w:tc>
      </w:tr>
      <w:tr>
        <w:trPr>
          <w:cantSplit w:val="0"/>
          <w:trHeight w:val="115" w:hRule="atLeast"/>
          <w:tblHeader w:val="0"/>
        </w:trPr>
        <w:tc>
          <w:tcPr>
            <w:gridSpan w:val="2"/>
          </w:tcPr>
          <w:p w:rsidR="00000000" w:rsidDel="00000000" w:rsidP="00000000" w:rsidRDefault="00000000" w:rsidRPr="00000000" w14:paraId="0000004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Документи на підтвердження відповідності пропозиції Учасника умовам Документації:</w:t>
            </w:r>
          </w:p>
        </w:tc>
      </w:tr>
      <w:tr>
        <w:trPr>
          <w:cantSplit w:val="0"/>
          <w:trHeight w:val="2000" w:hRule="atLeast"/>
          <w:tblHeader w:val="0"/>
        </w:trPr>
        <w:tc>
          <w:tcPr/>
          <w:p w:rsidR="00000000" w:rsidDel="00000000" w:rsidP="00000000" w:rsidRDefault="00000000" w:rsidRPr="00000000" w14:paraId="0000004B">
            <w:pPr>
              <w:widowControl w:val="0"/>
              <w:numPr>
                <w:ilvl w:val="0"/>
                <w:numId w:val="1"/>
              </w:numPr>
              <w:tabs>
                <w:tab w:val="left" w:leader="none" w:pos="1080"/>
              </w:tabs>
              <w:spacing w:line="240" w:lineRule="auto"/>
              <w:ind w:left="502" w:hanging="360"/>
              <w:jc w:val="center"/>
              <w:rPr>
                <w:rFonts w:ascii="Times New Roman" w:cs="Times New Roman" w:eastAsia="Times New Roman" w:hAnsi="Times New Roman"/>
                <w:b w:val="1"/>
                <w:sz w:val="24"/>
                <w:szCs w:val="24"/>
                <w:u w:val="single"/>
              </w:rPr>
            </w:pPr>
            <w:r w:rsidDel="00000000" w:rsidR="00000000" w:rsidRPr="00000000">
              <w:rPr>
                <w:rtl w:val="0"/>
              </w:rPr>
            </w:r>
          </w:p>
        </w:tc>
        <w:tc>
          <w:tcPr>
            <w:shd w:fill="auto" w:val="clear"/>
          </w:tcPr>
          <w:p w:rsidR="00000000" w:rsidDel="00000000" w:rsidP="00000000" w:rsidRDefault="00000000" w:rsidRPr="00000000" w14:paraId="0000004C">
            <w:pPr>
              <w:spacing w:line="240" w:lineRule="auto"/>
              <w:ind w:firstLine="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trPr>
          <w:cantSplit w:val="0"/>
          <w:trHeight w:val="1243" w:hRule="atLeast"/>
          <w:tblHeader w:val="0"/>
        </w:trPr>
        <w:tc>
          <w:tcPr/>
          <w:p w:rsidR="00000000" w:rsidDel="00000000" w:rsidP="00000000" w:rsidRDefault="00000000" w:rsidRPr="00000000" w14:paraId="0000004D">
            <w:pPr>
              <w:widowControl w:val="0"/>
              <w:numPr>
                <w:ilvl w:val="0"/>
                <w:numId w:val="1"/>
              </w:numPr>
              <w:tabs>
                <w:tab w:val="left" w:leader="none" w:pos="1080"/>
              </w:tabs>
              <w:spacing w:line="240" w:lineRule="auto"/>
              <w:ind w:left="502" w:right="-107" w:hanging="360"/>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r>
        <w:trPr>
          <w:cantSplit w:val="0"/>
          <w:trHeight w:val="224" w:hRule="atLeast"/>
          <w:tblHeader w:val="0"/>
        </w:trPr>
        <w:tc>
          <w:tcPr/>
          <w:p w:rsidR="00000000" w:rsidDel="00000000" w:rsidP="00000000" w:rsidRDefault="00000000" w:rsidRPr="00000000" w14:paraId="0000004F">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Pr>
          <w:p w:rsidR="00000000" w:rsidDel="00000000" w:rsidP="00000000" w:rsidRDefault="00000000" w:rsidRPr="00000000" w14:paraId="00000050">
            <w:pPr>
              <w:spacing w:line="240" w:lineRule="auto"/>
              <w:ind w:firstLine="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 договору (</w:t>
            </w:r>
            <w:r w:rsidDel="00000000" w:rsidR="00000000" w:rsidRPr="00000000">
              <w:rPr>
                <w:rFonts w:ascii="Times New Roman" w:cs="Times New Roman" w:eastAsia="Times New Roman" w:hAnsi="Times New Roman"/>
                <w:b w:val="1"/>
                <w:sz w:val="24"/>
                <w:szCs w:val="24"/>
                <w:rtl w:val="0"/>
              </w:rPr>
              <w:t xml:space="preserve">Додаток №4</w:t>
            </w:r>
            <w:r w:rsidDel="00000000" w:rsidR="00000000" w:rsidRPr="00000000">
              <w:rPr>
                <w:rFonts w:ascii="Times New Roman" w:cs="Times New Roman" w:eastAsia="Times New Roman" w:hAnsi="Times New Roman"/>
                <w:sz w:val="24"/>
                <w:szCs w:val="24"/>
                <w:rtl w:val="0"/>
              </w:rPr>
              <w:t xml:space="preserve">) відповідно до наданої форми.</w:t>
            </w:r>
          </w:p>
        </w:tc>
      </w:tr>
      <w:tr>
        <w:trPr>
          <w:cantSplit w:val="0"/>
          <w:trHeight w:val="224" w:hRule="atLeast"/>
          <w:tblHeader w:val="0"/>
        </w:trPr>
        <w:tc>
          <w:tcPr/>
          <w:p w:rsidR="00000000" w:rsidDel="00000000" w:rsidP="00000000" w:rsidRDefault="00000000" w:rsidRPr="00000000" w14:paraId="00000051">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Pr>
          <w:p w:rsidR="00000000" w:rsidDel="00000000" w:rsidP="00000000" w:rsidRDefault="00000000" w:rsidRPr="00000000" w14:paraId="00000052">
            <w:pPr>
              <w:spacing w:line="240" w:lineRule="auto"/>
              <w:ind w:firstLine="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 гарантія в довільній формі про постачання необхідної кількості товару встановленої потужності, у відповідності до вимог Додатку 3 до Документації.</w:t>
            </w:r>
          </w:p>
        </w:tc>
      </w:tr>
      <w:tr>
        <w:trPr>
          <w:cantSplit w:val="0"/>
          <w:trHeight w:val="451" w:hRule="atLeast"/>
          <w:tblHeader w:val="0"/>
        </w:trPr>
        <w:tc>
          <w:tcPr/>
          <w:p w:rsidR="00000000" w:rsidDel="00000000" w:rsidP="00000000" w:rsidRDefault="00000000" w:rsidRPr="00000000" w14:paraId="00000053">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Pr>
          <w:p w:rsidR="00000000" w:rsidDel="00000000" w:rsidP="00000000" w:rsidRDefault="00000000" w:rsidRPr="00000000" w14:paraId="00000054">
            <w:pPr>
              <w:widowControl w:val="0"/>
              <w:tabs>
                <w:tab w:val="left" w:leader="none" w:pos="10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Копія Свідоцтва про реєстрацію платника ПДВ або копія Витягу з реєстру платників податку на додану вартість </w:t>
            </w:r>
            <w:r w:rsidDel="00000000" w:rsidR="00000000" w:rsidRPr="00000000">
              <w:rPr>
                <w:rFonts w:ascii="Times New Roman" w:cs="Times New Roman" w:eastAsia="Times New Roman" w:hAnsi="Times New Roman"/>
                <w:i w:val="1"/>
                <w:sz w:val="24"/>
                <w:szCs w:val="24"/>
                <w:rtl w:val="0"/>
              </w:rPr>
              <w:t xml:space="preserve">(для платників ПДВ).</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5">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56">
            <w:pPr>
              <w:widowControl w:val="0"/>
              <w:tabs>
                <w:tab w:val="left" w:leader="none" w:pos="-25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Копія Свідоцтва платника єдиного податку або копія Витягу з реєстру платників єдиного податку (</w:t>
            </w:r>
            <w:r w:rsidDel="00000000" w:rsidR="00000000" w:rsidRPr="00000000">
              <w:rPr>
                <w:rFonts w:ascii="Times New Roman" w:cs="Times New Roman" w:eastAsia="Times New Roman" w:hAnsi="Times New Roman"/>
                <w:i w:val="1"/>
                <w:sz w:val="24"/>
                <w:szCs w:val="24"/>
                <w:rtl w:val="0"/>
              </w:rPr>
              <w:t xml:space="preserve">для платників єдиного податку</w:t>
            </w:r>
            <w:r w:rsidDel="00000000" w:rsidR="00000000" w:rsidRPr="00000000">
              <w:rPr>
                <w:rFonts w:ascii="Times New Roman" w:cs="Times New Roman" w:eastAsia="Times New Roman" w:hAnsi="Times New Roman"/>
                <w:sz w:val="24"/>
                <w:szCs w:val="24"/>
                <w:rtl w:val="0"/>
              </w:rPr>
              <w:t xml:space="preserve">).</w:t>
            </w:r>
          </w:p>
        </w:tc>
      </w:tr>
      <w:tr>
        <w:trPr>
          <w:cantSplit w:val="0"/>
          <w:trHeight w:val="364" w:hRule="atLeast"/>
          <w:tblHeader w:val="0"/>
        </w:trPr>
        <w:tc>
          <w:tcPr/>
          <w:p w:rsidR="00000000" w:rsidDel="00000000" w:rsidP="00000000" w:rsidRDefault="00000000" w:rsidRPr="00000000" w14:paraId="00000057">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58">
            <w:pPr>
              <w:widowControl w:val="0"/>
              <w:spacing w:line="240" w:lineRule="auto"/>
              <w:ind w:right="1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trPr>
          <w:cantSplit w:val="0"/>
          <w:trHeight w:val="601" w:hRule="atLeast"/>
          <w:tblHeader w:val="0"/>
        </w:trPr>
        <w:tc>
          <w:tcPr/>
          <w:p w:rsidR="00000000" w:rsidDel="00000000" w:rsidP="00000000" w:rsidRDefault="00000000" w:rsidRPr="00000000" w14:paraId="00000059">
            <w:pPr>
              <w:spacing w:after="160" w:line="259"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w:t>
            </w:r>
          </w:p>
        </w:tc>
        <w:tc>
          <w:tcPr>
            <w:shd w:fill="auto" w:val="clear"/>
          </w:tcPr>
          <w:p w:rsidR="00000000" w:rsidDel="00000000" w:rsidP="00000000" w:rsidRDefault="00000000" w:rsidRPr="00000000" w14:paraId="0000005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Документи для підтвердження відповідності пропозиції учасника вимогам, визначеним у статті 17.</w:t>
            </w:r>
          </w:p>
        </w:tc>
      </w:tr>
      <w:tr>
        <w:trPr>
          <w:cantSplit w:val="0"/>
          <w:trHeight w:val="865" w:hRule="atLeast"/>
          <w:tblHeader w:val="0"/>
        </w:trPr>
        <w:tc>
          <w:tcPr/>
          <w:p w:rsidR="00000000" w:rsidDel="00000000" w:rsidP="00000000" w:rsidRDefault="00000000" w:rsidRPr="00000000" w14:paraId="0000005B">
            <w:pPr>
              <w:spacing w:after="160" w:line="259"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w:t>
            </w:r>
          </w:p>
        </w:tc>
        <w:tc>
          <w:tcPr>
            <w:shd w:fill="auto" w:val="clear"/>
          </w:tcPr>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Копія Статуту в останньої (діючої) редакції або іншого установчого документу (</w:t>
            </w:r>
            <w:r w:rsidDel="00000000" w:rsidR="00000000" w:rsidRPr="00000000">
              <w:rPr>
                <w:rFonts w:ascii="Times New Roman" w:cs="Times New Roman" w:eastAsia="Times New Roman" w:hAnsi="Times New Roman"/>
                <w:i w:val="1"/>
                <w:sz w:val="24"/>
                <w:szCs w:val="24"/>
                <w:rtl w:val="0"/>
              </w:rPr>
              <w:t xml:space="preserve">вимога встановлюється до Учасників торгів - юридичних осіб</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950" w:hRule="atLeast"/>
          <w:tblHeader w:val="0"/>
        </w:trPr>
        <w:tc>
          <w:tcPr/>
          <w:p w:rsidR="00000000" w:rsidDel="00000000" w:rsidP="00000000" w:rsidRDefault="00000000" w:rsidRPr="00000000" w14:paraId="0000005D">
            <w:pPr>
              <w:shd w:fill="ffffff" w:val="clea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Pr>
          <w:p w:rsidR="00000000" w:rsidDel="00000000" w:rsidP="00000000" w:rsidRDefault="00000000" w:rsidRPr="00000000" w14:paraId="0000005E">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Учасник повинен надати оригінал довідки від оператора системи передачі ПрАТ «НЕК «Укренерго» про те, що він з початку роботи ринку електричної енергії – з 01.07.2019 року не знаходився в статусі «дефолтного»,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rsidR="00000000" w:rsidDel="00000000" w:rsidP="00000000" w:rsidRDefault="00000000" w:rsidRPr="00000000" w14:paraId="0000005F">
            <w:pPr>
              <w:shd w:fill="ffffff" w:val="clear"/>
              <w:spacing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 Учасник повинен надати гарантійний лист, про те, що він протягом 2021-2022 року не знаходився в статусі «переддефолтний», відповідно до Розділу 1.7 «Невиконання зобов’язань» «Правил ринку», затверджених постановою НКРЕКП від 24.06.2019 № 1168.</w:t>
            </w:r>
            <w:r w:rsidDel="00000000" w:rsidR="00000000" w:rsidRPr="00000000">
              <w:rPr>
                <w:rtl w:val="0"/>
              </w:rPr>
            </w:r>
          </w:p>
        </w:tc>
      </w:tr>
      <w:tr>
        <w:trPr>
          <w:cantSplit w:val="0"/>
          <w:trHeight w:val="1729" w:hRule="atLeast"/>
          <w:tblHeader w:val="0"/>
        </w:trPr>
        <w:tc>
          <w:tcPr/>
          <w:p w:rsidR="00000000" w:rsidDel="00000000" w:rsidP="00000000" w:rsidRDefault="00000000" w:rsidRPr="00000000" w14:paraId="00000060">
            <w:pPr>
              <w:spacing w:after="160" w:line="259"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11.</w:t>
            </w:r>
          </w:p>
          <w:p w:rsidR="00000000" w:rsidDel="00000000" w:rsidP="00000000" w:rsidRDefault="00000000" w:rsidRPr="00000000" w14:paraId="00000061">
            <w:pPr>
              <w:spacing w:after="160" w:line="259"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after="160" w:line="259"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3">
            <w:pPr>
              <w:shd w:fill="ffffff" w:val="clear"/>
              <w:spacing w:line="240" w:lineRule="auto"/>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r w:rsidDel="00000000" w:rsidR="00000000" w:rsidRPr="00000000">
              <w:rPr>
                <w:rtl w:val="0"/>
              </w:rPr>
            </w:r>
          </w:p>
        </w:tc>
      </w:tr>
      <w:tr>
        <w:trPr>
          <w:cantSplit w:val="0"/>
          <w:trHeight w:val="1411" w:hRule="atLeast"/>
          <w:tblHeader w:val="0"/>
        </w:trPr>
        <w:tc>
          <w:tcPr/>
          <w:p w:rsidR="00000000" w:rsidDel="00000000" w:rsidP="00000000" w:rsidRDefault="00000000" w:rsidRPr="00000000" w14:paraId="00000064">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w:t>
            </w:r>
            <w:r w:rsidDel="00000000" w:rsidR="00000000" w:rsidRPr="00000000">
              <w:rPr>
                <w:rtl w:val="0"/>
              </w:rPr>
            </w:r>
          </w:p>
          <w:p w:rsidR="00000000" w:rsidDel="00000000" w:rsidP="00000000" w:rsidRDefault="00000000" w:rsidRPr="00000000" w14:paraId="00000065">
            <w:pPr>
              <w:spacing w:after="160" w:line="259"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повинен надати гарантійний лист, про те, що Учасник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tc>
      </w:tr>
      <w:tr>
        <w:trPr>
          <w:cantSplit w:val="0"/>
          <w:trHeight w:val="1133" w:hRule="atLeast"/>
          <w:tblHeader w:val="0"/>
        </w:trPr>
        <w:tc>
          <w:tcPr/>
          <w:p w:rsidR="00000000" w:rsidDel="00000000" w:rsidP="00000000" w:rsidRDefault="00000000" w:rsidRPr="00000000" w14:paraId="00000067">
            <w:pPr>
              <w:spacing w:after="160" w:line="259" w:lineRule="auto"/>
              <w:jc w:val="center"/>
              <w:rPr>
                <w:rFonts w:ascii="Times New Roman" w:cs="Times New Roman" w:eastAsia="Times New Roman" w:hAnsi="Times New Roman"/>
                <w:sz w:val="24"/>
                <w:szCs w:val="24"/>
                <w:highlight w:val="white"/>
              </w:rPr>
            </w:pPr>
            <w:bookmarkStart w:colFirst="0" w:colLast="0" w:name="_heading=h.tyjcwt" w:id="5"/>
            <w:bookmarkEnd w:id="5"/>
            <w:r w:rsidDel="00000000" w:rsidR="00000000" w:rsidRPr="00000000">
              <w:rPr>
                <w:rFonts w:ascii="Times New Roman" w:cs="Times New Roman" w:eastAsia="Times New Roman" w:hAnsi="Times New Roman"/>
                <w:sz w:val="24"/>
                <w:szCs w:val="24"/>
                <w:highlight w:val="white"/>
                <w:rtl w:val="0"/>
              </w:rPr>
              <w:t xml:space="preserve">13.</w:t>
            </w:r>
          </w:p>
        </w:tc>
        <w:tc>
          <w:tcPr>
            <w:shd w:fill="auto" w:val="clear"/>
          </w:tcPr>
          <w:p w:rsidR="00000000" w:rsidDel="00000000" w:rsidP="00000000" w:rsidRDefault="00000000" w:rsidRPr="00000000" w14:paraId="00000068">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tbl>
    <w:p w:rsidR="00000000" w:rsidDel="00000000" w:rsidP="00000000" w:rsidRDefault="00000000" w:rsidRPr="00000000" w14:paraId="00000069">
      <w:pPr>
        <w:spacing w:after="160" w:line="259"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A">
      <w:pPr>
        <w:spacing w:after="160" w:line="259" w:lineRule="auto"/>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B">
      <w:pPr>
        <w:spacing w:after="160" w:line="259" w:lineRule="auto"/>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C">
      <w:pPr>
        <w:spacing w:after="160" w:line="259" w:lineRule="auto"/>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D">
      <w:pPr>
        <w:spacing w:after="160" w:line="259" w:lineRule="auto"/>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E">
      <w:pPr>
        <w:spacing w:after="160" w:line="259"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F">
      <w:pPr>
        <w:spacing w:after="160" w:line="259"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0">
      <w:pPr>
        <w:spacing w:after="160" w:before="120" w:line="259"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ДОКУМЕНТИ ДЛЯ ПІДТВЕРДЖЕННЯ ВІДПОВІДНОСТІ ПРОПОЗИЦІЇ УЧАСНИКА ВИМОГАМ, ВИЗНАЧЕНИМ У СТАТТІ   17   ЗАКОНУ</w:t>
      </w:r>
    </w:p>
    <w:tbl>
      <w:tblPr>
        <w:tblStyle w:val="Table6"/>
        <w:tblW w:w="11070.0" w:type="dxa"/>
        <w:jc w:val="left"/>
        <w:tblInd w:w="-1124.0" w:type="dxa"/>
        <w:tblLayout w:type="fixed"/>
        <w:tblLook w:val="0000"/>
      </w:tblPr>
      <w:tblGrid>
        <w:gridCol w:w="425"/>
        <w:gridCol w:w="3544"/>
        <w:gridCol w:w="3686"/>
        <w:gridCol w:w="3415"/>
        <w:tblGridChange w:id="0">
          <w:tblGrid>
            <w:gridCol w:w="425"/>
            <w:gridCol w:w="3544"/>
            <w:gridCol w:w="3686"/>
            <w:gridCol w:w="3415"/>
          </w:tblGrid>
        </w:tblGridChange>
      </w:tblGrid>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1">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tc>
        <w:tc>
          <w:tcPr>
            <w:tcBorders>
              <w:top w:color="000000" w:space="0" w:sz="8" w:val="single"/>
              <w:left w:color="000000" w:space="0" w:sz="8" w:val="single"/>
              <w:bottom w:color="000000" w:space="0" w:sz="4" w:val="single"/>
              <w:right w:color="000000" w:space="0" w:sz="8" w:val="single"/>
            </w:tcBorders>
            <w:shd w:fill="ffffff" w:val="clear"/>
            <w:tcMar>
              <w:left w:w="108.0" w:type="dxa"/>
              <w:right w:w="108.0" w:type="dxa"/>
            </w:tcMar>
          </w:tcPr>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r w:rsidDel="00000000" w:rsidR="00000000" w:rsidRPr="00000000">
              <w:rPr>
                <w:rtl w:val="0"/>
              </w:rPr>
            </w:r>
          </w:p>
        </w:tc>
        <w:tc>
          <w:tcPr>
            <w:tcBorders>
              <w:top w:color="000000" w:space="0" w:sz="8" w:val="single"/>
              <w:left w:color="000000" w:space="0" w:sz="6" w:val="single"/>
              <w:bottom w:color="000000" w:space="0" w:sz="4" w:val="single"/>
              <w:right w:color="000000" w:space="0" w:sz="6" w:val="single"/>
            </w:tcBorders>
            <w:shd w:fill="ffffff" w:val="clear"/>
          </w:tcPr>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Учасник на виконання вимоги статті 17 Закону повинен надати інформацію, викладену нижче</w:t>
            </w:r>
            <w:r w:rsidDel="00000000" w:rsidR="00000000" w:rsidRPr="00000000">
              <w:rPr>
                <w:rtl w:val="0"/>
              </w:rPr>
            </w:r>
          </w:p>
        </w:tc>
        <w:tc>
          <w:tcPr>
            <w:tcBorders>
              <w:top w:color="000000" w:space="0" w:sz="8" w:val="single"/>
              <w:left w:color="000000" w:space="0" w:sz="6" w:val="single"/>
              <w:bottom w:color="000000" w:space="0" w:sz="4" w:val="single"/>
              <w:right w:color="000000" w:space="0" w:sz="8" w:val="single"/>
            </w:tcBorders>
            <w:shd w:fill="ffffff" w:val="clear"/>
            <w:tcMar>
              <w:left w:w="108.0" w:type="dxa"/>
              <w:right w:w="108.0" w:type="dxa"/>
            </w:tcMar>
          </w:tcPr>
          <w:p w:rsidR="00000000" w:rsidDel="00000000" w:rsidP="00000000" w:rsidRDefault="00000000" w:rsidRPr="00000000" w14:paraId="0000007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Переможець на виконання вимоги статті 17 Закону повинен надати інформацію, викладену нижче</w:t>
            </w:r>
          </w:p>
        </w:tc>
      </w:tr>
      <w:tr>
        <w:trPr>
          <w:cantSplit w:val="0"/>
          <w:trHeight w:val="98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tc>
        <w:tc>
          <w:tcPr>
            <w:tcBorders>
              <w:top w:color="000000" w:space="0" w:sz="4" w:val="single"/>
              <w:left w:color="000000" w:space="0" w:sz="8" w:val="single"/>
              <w:bottom w:color="000000" w:space="0" w:sz="4" w:val="single"/>
              <w:right w:color="000000" w:space="0" w:sz="8" w:val="single"/>
            </w:tcBorders>
            <w:shd w:fill="ffffff" w:val="clear"/>
            <w:tcMar>
              <w:left w:w="108.0" w:type="dxa"/>
              <w:right w:w="108.0" w:type="dxa"/>
            </w:tcMar>
          </w:tcPr>
          <w:p w:rsidR="00000000" w:rsidDel="00000000" w:rsidP="00000000" w:rsidRDefault="00000000" w:rsidRPr="00000000" w14:paraId="00000076">
            <w:pPr>
              <w:spacing w:line="240" w:lineRule="auto"/>
              <w:ind w:left="34"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Borders>
              <w:top w:color="000000" w:space="0" w:sz="4"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77">
            <w:pPr>
              <w:spacing w:line="240" w:lineRule="auto"/>
              <w:ind w:left="132" w:right="6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самостійно перевіряє інформацію, що міститься у відкритому реєстрі. </w:t>
            </w:r>
          </w:p>
          <w:p w:rsidR="00000000" w:rsidDel="00000000" w:rsidP="00000000" w:rsidRDefault="00000000" w:rsidRPr="00000000" w14:paraId="00000078">
            <w:pPr>
              <w:spacing w:line="240" w:lineRule="auto"/>
              <w:ind w:left="132" w:right="2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Відкритий реєстр за посиланням</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highlight w:val="white"/>
                  <w:u w:val="single"/>
                  <w:rtl w:val="0"/>
                </w:rPr>
                <w:t xml:space="preserve">https://corruptinfo.nazk.gov.ua/</w:t>
              </w:r>
            </w:hyperlink>
            <w:r w:rsidDel="00000000" w:rsidR="00000000" w:rsidRPr="00000000">
              <w:rPr>
                <w:rFonts w:ascii="Times New Roman" w:cs="Times New Roman" w:eastAsia="Times New Roman" w:hAnsi="Times New Roman"/>
                <w:sz w:val="24"/>
                <w:szCs w:val="24"/>
                <w:highlight w:val="white"/>
                <w:rtl w:val="0"/>
              </w:rPr>
              <w:t xml:space="preserve">  (знаходиться на сайті НАЗК)</w:t>
            </w:r>
            <w:r w:rsidDel="00000000" w:rsidR="00000000" w:rsidRPr="00000000">
              <w:rPr>
                <w:rtl w:val="0"/>
              </w:rPr>
            </w:r>
          </w:p>
        </w:tc>
        <w:tc>
          <w:tcPr>
            <w:tcBorders>
              <w:top w:color="000000" w:space="0" w:sz="4"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79">
            <w:pPr>
              <w:spacing w:line="240" w:lineRule="auto"/>
              <w:ind w:left="-44"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A">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c>
          <w:tcPr>
            <w:tcBorders>
              <w:top w:color="000000" w:space="0" w:sz="4"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7B">
            <w:pPr>
              <w:spacing w:line="240" w:lineRule="auto"/>
              <w:ind w:left="34" w:hanging="142"/>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Del="00000000" w:rsidR="00000000" w:rsidRPr="00000000">
              <w:rPr>
                <w:rFonts w:ascii="Times New Roman" w:cs="Times New Roman" w:eastAsia="Times New Roman" w:hAnsi="Times New Roman"/>
                <w:b w:val="1"/>
                <w:sz w:val="24"/>
                <w:szCs w:val="24"/>
                <w:highlight w:val="white"/>
                <w:rtl w:val="0"/>
              </w:rPr>
              <w:t xml:space="preserve">за вчинення корупційного правопорушення  або правопорушення, пов’язаного з корупцією </w:t>
            </w:r>
          </w:p>
          <w:p w:rsidR="00000000" w:rsidDel="00000000" w:rsidP="00000000" w:rsidRDefault="00000000" w:rsidRPr="00000000" w14:paraId="0000007C">
            <w:pPr>
              <w:spacing w:line="240" w:lineRule="auto"/>
              <w:ind w:left="34" w:hanging="1.00000000000000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 3 ч. 1 ст. 17 Закону)</w:t>
            </w:r>
          </w:p>
        </w:tc>
        <w:tc>
          <w:tcPr>
            <w:tcBorders>
              <w:top w:color="000000" w:space="0" w:sz="6"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7D">
            <w:pPr>
              <w:spacing w:line="240" w:lineRule="auto"/>
              <w:ind w:left="145" w:right="68"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самостійно перевіряє інформацію, що міститься у відкритому реєстрі.</w:t>
            </w:r>
          </w:p>
          <w:p w:rsidR="00000000" w:rsidDel="00000000" w:rsidP="00000000" w:rsidRDefault="00000000" w:rsidRPr="00000000" w14:paraId="0000007E">
            <w:pPr>
              <w:spacing w:line="240" w:lineRule="auto"/>
              <w:ind w:left="145" w:right="6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Відкритий реєстр за посиланням– </w:t>
            </w:r>
            <w:hyperlink r:id="rId8">
              <w:r w:rsidDel="00000000" w:rsidR="00000000" w:rsidRPr="00000000">
                <w:rPr>
                  <w:rFonts w:ascii="Times New Roman" w:cs="Times New Roman" w:eastAsia="Times New Roman" w:hAnsi="Times New Roman"/>
                  <w:color w:val="0000ff"/>
                  <w:sz w:val="24"/>
                  <w:szCs w:val="24"/>
                  <w:highlight w:val="white"/>
                  <w:u w:val="single"/>
                  <w:rtl w:val="0"/>
                </w:rPr>
                <w:t xml:space="preserve">https://corruptinfo.nazk.gov.ua/</w:t>
              </w:r>
            </w:hyperlink>
            <w:r w:rsidDel="00000000" w:rsidR="00000000" w:rsidRPr="00000000">
              <w:rPr>
                <w:rFonts w:ascii="Times New Roman" w:cs="Times New Roman" w:eastAsia="Times New Roman" w:hAnsi="Times New Roman"/>
                <w:sz w:val="24"/>
                <w:szCs w:val="24"/>
                <w:highlight w:val="white"/>
                <w:rtl w:val="0"/>
              </w:rPr>
              <w:t xml:space="preserve">  (знаходиться на сайті НАЗК)</w:t>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 що підтверджує відсутність підстав </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168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1">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w:t>
            </w:r>
          </w:p>
        </w:tc>
        <w:tc>
          <w:tcPr>
            <w:tcBorders>
              <w:top w:color="000000" w:space="0" w:sz="6"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82">
            <w:pPr>
              <w:spacing w:line="240" w:lineRule="auto"/>
              <w:ind w:left="34" w:right="3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Del="00000000" w:rsidR="00000000" w:rsidRPr="00000000">
              <w:rPr>
                <w:rtl w:val="0"/>
              </w:rPr>
            </w:r>
          </w:p>
          <w:p w:rsidR="00000000" w:rsidDel="00000000" w:rsidP="00000000" w:rsidRDefault="00000000" w:rsidRPr="00000000" w14:paraId="00000083">
            <w:pPr>
              <w:spacing w:line="240" w:lineRule="auto"/>
              <w:ind w:left="34" w:right="33"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 4 ч. 1 ст. 17 Закону)</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84">
            <w:pPr>
              <w:spacing w:line="240" w:lineRule="auto"/>
              <w:ind w:left="132" w:righ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9">
              <w:r w:rsidDel="00000000" w:rsidR="00000000" w:rsidRPr="00000000">
                <w:rPr>
                  <w:rFonts w:ascii="Times New Roman" w:cs="Times New Roman" w:eastAsia="Times New Roman" w:hAnsi="Times New Roman"/>
                  <w:color w:val="0000ff"/>
                  <w:sz w:val="24"/>
                  <w:szCs w:val="24"/>
                  <w:highlight w:val="white"/>
                  <w:u w:val="single"/>
                  <w:rtl w:val="0"/>
                </w:rPr>
                <w:t xml:space="preserve">www.amc.gov.ua</w:t>
              </w:r>
            </w:hyperlink>
            <w:r w:rsidDel="00000000" w:rsidR="00000000" w:rsidRPr="00000000">
              <w:rPr>
                <w:rFonts w:ascii="Times New Roman" w:cs="Times New Roman" w:eastAsia="Times New Roman" w:hAnsi="Times New Roman"/>
                <w:sz w:val="24"/>
                <w:szCs w:val="24"/>
                <w:highlight w:val="white"/>
                <w:rtl w:val="0"/>
              </w:rPr>
              <w:t xml:space="preserve"> в розділі «Діяльність у сфері публічних закупівель»)</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000000" w:rsidDel="00000000" w:rsidP="00000000" w:rsidRDefault="00000000" w:rsidRPr="00000000" w14:paraId="00000088">
            <w:pPr>
              <w:spacing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highlight w:val="white"/>
                <w:rtl w:val="0"/>
              </w:rPr>
              <w:t xml:space="preserve">(п. 5 ч.1 ст. 17 Закону)</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89">
            <w:pPr>
              <w:spacing w:line="240" w:lineRule="auto"/>
              <w:ind w:left="132" w:right="68"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Додатково замовник може перевірити довідку на офіційному сайті МВС за посиланням </w:t>
            </w:r>
            <w:hyperlink r:id="rId10">
              <w:r w:rsidDel="00000000" w:rsidR="00000000" w:rsidRPr="00000000">
                <w:rPr>
                  <w:rFonts w:ascii="Times New Roman" w:cs="Times New Roman" w:eastAsia="Times New Roman" w:hAnsi="Times New Roman"/>
                  <w:color w:val="0000ff"/>
                  <w:sz w:val="24"/>
                  <w:szCs w:val="24"/>
                  <w:u w:val="single"/>
                  <w:rtl w:val="0"/>
                </w:rPr>
                <w:t xml:space="preserve">http://wanted.mvs.gov.ua/test/</w:t>
              </w:r>
            </w:hyperlink>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w:t>
            </w:r>
          </w:p>
        </w:tc>
        <w:tc>
          <w:tcPr>
            <w:tcBorders>
              <w:top w:color="000000" w:space="0" w:sz="6" w:val="single"/>
              <w:left w:color="000000" w:space="0" w:sz="4"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8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 6 ч.1  ст. 17 Закону)</w:t>
            </w:r>
          </w:p>
        </w:tc>
        <w:tc>
          <w:tcPr>
            <w:tcBorders>
              <w:top w:color="000000" w:space="0" w:sz="6"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8F">
            <w:pPr>
              <w:spacing w:line="240" w:lineRule="auto"/>
              <w:ind w:left="132" w:righ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Додатково замовник може перевірити довідку на офіційному сайті МВС за посиланням </w:t>
            </w:r>
            <w:hyperlink r:id="rId11">
              <w:r w:rsidDel="00000000" w:rsidR="00000000" w:rsidRPr="00000000">
                <w:rPr>
                  <w:rFonts w:ascii="Times New Roman" w:cs="Times New Roman" w:eastAsia="Times New Roman" w:hAnsi="Times New Roman"/>
                  <w:color w:val="0000ff"/>
                  <w:sz w:val="24"/>
                  <w:szCs w:val="24"/>
                  <w:u w:val="single"/>
                  <w:rtl w:val="0"/>
                </w:rPr>
                <w:t xml:space="preserve">http://wanted.mvs.gov.ua/test/</w:t>
              </w:r>
            </w:hyperlink>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w:t>
            </w:r>
          </w:p>
        </w:tc>
        <w:tc>
          <w:tcPr>
            <w:tcBorders>
              <w:top w:color="000000" w:space="0" w:sz="6" w:val="single"/>
              <w:left w:color="000000" w:space="0" w:sz="4"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процедури закупівлі визначений у встановленому законом порядку банкрутом та стосовно нього відкрита ліквідаційна процедура</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(п.8 ч.1 ст. Закону)</w:t>
            </w:r>
          </w:p>
        </w:tc>
        <w:tc>
          <w:tcPr>
            <w:tcBorders>
              <w:top w:color="000000" w:space="0" w:sz="6"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95">
            <w:pPr>
              <w:spacing w:line="240" w:lineRule="auto"/>
              <w:ind w:left="132" w:righ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самостійно перевіряє інформацію, що міститься у відкритому реєстрі.</w:t>
            </w:r>
          </w:p>
          <w:p w:rsidR="00000000" w:rsidDel="00000000" w:rsidP="00000000" w:rsidRDefault="00000000" w:rsidRPr="00000000" w14:paraId="00000096">
            <w:pPr>
              <w:spacing w:line="240" w:lineRule="auto"/>
              <w:ind w:left="132" w:righ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Відкритий реєстр за посиланням –</w:t>
            </w:r>
          </w:p>
          <w:p w:rsidR="00000000" w:rsidDel="00000000" w:rsidP="00000000" w:rsidRDefault="00000000" w:rsidRPr="00000000" w14:paraId="00000097">
            <w:pPr>
              <w:spacing w:line="240" w:lineRule="auto"/>
              <w:ind w:left="132" w:right="68" w:firstLine="0"/>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http://kap.minjust.gov.ua/services/registry</w:t>
              </w:r>
            </w:hyperlink>
            <w:r w:rsidDel="00000000" w:rsidR="00000000" w:rsidRPr="00000000">
              <w:rPr>
                <w:rFonts w:ascii="Times New Roman" w:cs="Times New Roman" w:eastAsia="Times New Roman" w:hAnsi="Times New Roman"/>
                <w:sz w:val="24"/>
                <w:szCs w:val="24"/>
                <w:rtl w:val="0"/>
              </w:rPr>
              <w:t xml:space="preserve"> (знаходиться на офіційному сайті Мін'юсту)</w:t>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97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w:t>
            </w:r>
          </w:p>
        </w:tc>
        <w:tc>
          <w:tcPr>
            <w:tcBorders>
              <w:top w:color="000000" w:space="0" w:sz="6" w:val="single"/>
              <w:left w:color="000000" w:space="0" w:sz="4"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Del="00000000" w:rsidR="00000000" w:rsidRPr="00000000">
              <w:rPr>
                <w:rFonts w:ascii="Times New Roman" w:cs="Times New Roman" w:eastAsia="Times New Roman" w:hAnsi="Times New Roman"/>
                <w:b w:val="1"/>
                <w:sz w:val="24"/>
                <w:szCs w:val="24"/>
                <w:highlight w:val="white"/>
                <w:rtl w:val="0"/>
              </w:rPr>
              <w:t xml:space="preserve">(крім нерезидентів)</w:t>
            </w: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 9 ч. 1 ст. 17 Закону)</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ffffff" w:val="clear"/>
          </w:tcPr>
          <w:p w:rsidR="00000000" w:rsidDel="00000000" w:rsidP="00000000" w:rsidRDefault="00000000" w:rsidRPr="00000000" w14:paraId="0000009C">
            <w:pPr>
              <w:spacing w:line="240" w:lineRule="auto"/>
              <w:ind w:left="132" w:right="1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самостійно перевіряє інформацію, що міститься у відкритому реєстрі. </w:t>
            </w:r>
          </w:p>
          <w:p w:rsidR="00000000" w:rsidDel="00000000" w:rsidP="00000000" w:rsidRDefault="00000000" w:rsidRPr="00000000" w14:paraId="0000009D">
            <w:pPr>
              <w:spacing w:line="240" w:lineRule="auto"/>
              <w:ind w:left="132" w:right="1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Відкритий реєстр за посиланням –  </w:t>
            </w:r>
          </w:p>
          <w:p w:rsidR="00000000" w:rsidDel="00000000" w:rsidP="00000000" w:rsidRDefault="00000000" w:rsidRPr="00000000" w14:paraId="0000009E">
            <w:pPr>
              <w:spacing w:line="240" w:lineRule="auto"/>
              <w:ind w:left="132" w:right="132" w:firstLine="0"/>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https://usr.minjust.gov.ua/ua/freesearch</w:t>
              </w:r>
            </w:hyperlink>
            <w:r w:rsidDel="00000000" w:rsidR="00000000" w:rsidRPr="00000000">
              <w:rPr>
                <w:rFonts w:ascii="Times New Roman" w:cs="Times New Roman" w:eastAsia="Times New Roman" w:hAnsi="Times New Roman"/>
                <w:sz w:val="24"/>
                <w:szCs w:val="24"/>
                <w:rtl w:val="0"/>
              </w:rPr>
              <w:t xml:space="preserve">(знаходиться на офіційному сайті Мін'юсту)</w:t>
            </w:r>
          </w:p>
          <w:p w:rsidR="00000000" w:rsidDel="00000000" w:rsidP="00000000" w:rsidRDefault="00000000" w:rsidRPr="00000000" w14:paraId="0000009F">
            <w:pPr>
              <w:spacing w:line="240" w:lineRule="auto"/>
              <w:ind w:left="132"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A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(п.11 ч.1 ст.17 Закону)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4">
            <w:pPr>
              <w:spacing w:line="240" w:lineRule="auto"/>
              <w:ind w:left="132" w:right="1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самостійно перевіряє інформацію, що міститься у відкритому реєстрі. </w:t>
            </w:r>
          </w:p>
          <w:p w:rsidR="00000000" w:rsidDel="00000000" w:rsidP="00000000" w:rsidRDefault="00000000" w:rsidRPr="00000000" w14:paraId="000000A5">
            <w:pPr>
              <w:spacing w:line="240" w:lineRule="auto"/>
              <w:ind w:left="132" w:right="132" w:firstLine="0"/>
              <w:jc w:val="both"/>
              <w:rPr>
                <w:rFonts w:ascii="Times New Roman" w:cs="Times New Roman" w:eastAsia="Times New Roman" w:hAnsi="Times New Roman"/>
                <w:sz w:val="24"/>
                <w:szCs w:val="24"/>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A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0A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(п.12 ч.1 ст.17 Закону)</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A">
            <w:pPr>
              <w:spacing w:line="240" w:lineRule="auto"/>
              <w:ind w:left="132" w:right="13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довідка (витяг), або довідка, або  нотаріально завірена копія 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A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AE">
            <w:pPr>
              <w:spacing w:line="240" w:lineRule="auto"/>
              <w:ind w:left="132" w:right="13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B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00000" w:rsidDel="00000000" w:rsidP="00000000" w:rsidRDefault="00000000" w:rsidRPr="00000000" w14:paraId="000000B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(п.13 ч.1 ст.17 Закону)</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3">
            <w:pPr>
              <w:spacing w:line="240" w:lineRule="auto"/>
              <w:ind w:left="132" w:right="13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B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B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0B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(ч.2 ст.17 Закону)</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B8">
            <w:pPr>
              <w:spacing w:line="240" w:lineRule="auto"/>
              <w:ind w:left="132" w:right="13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0000" w:rsidDel="00000000" w:rsidP="00000000" w:rsidRDefault="00000000" w:rsidRPr="00000000" w14:paraId="000000B9">
            <w:pPr>
              <w:spacing w:line="240" w:lineRule="auto"/>
              <w:ind w:left="132" w:right="132"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Якщо замовник вважає таке підтвердження достатнім, учаснику не може бути відмовлено в участі в процедурі закупівлі  </w:t>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0BA">
            <w:pPr>
              <w:spacing w:line="240" w:lineRule="auto"/>
              <w:ind w:left="34" w:right="47" w:firstLine="9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Якщо замовник вважає таке підтвердження достатнім, учаснику не може бути відмовлено в участі в процедурі закупівлі  </w:t>
            </w:r>
          </w:p>
        </w:tc>
      </w:tr>
    </w:tbl>
    <w:p w:rsidR="00000000" w:rsidDel="00000000" w:rsidP="00000000" w:rsidRDefault="00000000" w:rsidRPr="00000000" w14:paraId="000000B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5660" w:firstLine="70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ДОДАТОК 1</w:t>
      </w:r>
      <w:r w:rsidDel="00000000" w:rsidR="00000000" w:rsidRPr="00000000">
        <w:rPr>
          <w:rtl w:val="0"/>
        </w:rPr>
      </w:r>
    </w:p>
    <w:p w:rsidR="00000000" w:rsidDel="00000000" w:rsidP="00000000" w:rsidRDefault="00000000" w:rsidRPr="00000000" w14:paraId="000000C1">
      <w:pPr>
        <w:spacing w:line="240" w:lineRule="auto"/>
        <w:ind w:left="5660" w:firstLine="70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тендерної документації </w:t>
      </w:r>
    </w:p>
    <w:p w:rsidR="00000000" w:rsidDel="00000000" w:rsidP="00000000" w:rsidRDefault="00000000" w:rsidRPr="00000000" w14:paraId="000000C2">
      <w:pPr>
        <w:spacing w:line="240" w:lineRule="auto"/>
        <w:ind w:left="5660" w:firstLine="70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160" w:before="120" w:line="259"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ПЕРЕЛІК ДОКУМЕНТІВ, ЯКІ ВИМАГАЮТЬСЯ  ВІД УЧАСНИКА ДЛЯ ПІДТВЕРДЖЕННЯ  ВІДПОВІДНОСТІ  ПРОПОЗИЦІЇ УЧАСНИКА ВИМОГАМ ЗАМОВНИКА</w:t>
      </w:r>
    </w:p>
    <w:tbl>
      <w:tblPr>
        <w:tblStyle w:val="Table7"/>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9072"/>
        <w:tblGridChange w:id="0">
          <w:tblGrid>
            <w:gridCol w:w="670"/>
            <w:gridCol w:w="9072"/>
          </w:tblGrid>
        </w:tblGridChange>
      </w:tblGrid>
      <w:tr>
        <w:trPr>
          <w:cantSplit w:val="0"/>
          <w:trHeight w:val="457" w:hRule="atLeast"/>
          <w:tblHeader w:val="0"/>
        </w:trPr>
        <w:tc>
          <w:tcPr/>
          <w:p w:rsidR="00000000" w:rsidDel="00000000" w:rsidP="00000000" w:rsidRDefault="00000000" w:rsidRPr="00000000" w14:paraId="000000C4">
            <w:pPr>
              <w:widowControl w:val="0"/>
              <w:tabs>
                <w:tab w:val="left" w:leader="none" w:pos="108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5">
            <w:pPr>
              <w:widowControl w:val="0"/>
              <w:tabs>
                <w:tab w:val="left" w:leader="none" w:pos="1080"/>
              </w:tabs>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p w:rsidR="00000000" w:rsidDel="00000000" w:rsidP="00000000" w:rsidRDefault="00000000" w:rsidRPr="00000000" w14:paraId="000000C6">
            <w:pPr>
              <w:widowControl w:val="0"/>
              <w:tabs>
                <w:tab w:val="left" w:leader="none" w:pos="108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Документи, що надаються (завантажуються в Систему) Учасником</w:t>
            </w:r>
          </w:p>
        </w:tc>
      </w:tr>
      <w:tr>
        <w:trPr>
          <w:cantSplit w:val="0"/>
          <w:trHeight w:val="115" w:hRule="atLeast"/>
          <w:tblHeader w:val="0"/>
        </w:trPr>
        <w:tc>
          <w:tcPr>
            <w:gridSpan w:val="2"/>
          </w:tcPr>
          <w:p w:rsidR="00000000" w:rsidDel="00000000" w:rsidP="00000000" w:rsidRDefault="00000000" w:rsidRPr="00000000" w14:paraId="000000C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Документи на підтвердження відповідності пропозиції Учасника умовам Документації:</w:t>
            </w:r>
          </w:p>
        </w:tc>
      </w:tr>
      <w:tr>
        <w:trPr>
          <w:cantSplit w:val="0"/>
          <w:trHeight w:val="2000" w:hRule="atLeast"/>
          <w:tblHeader w:val="0"/>
        </w:trPr>
        <w:tc>
          <w:tcPr/>
          <w:p w:rsidR="00000000" w:rsidDel="00000000" w:rsidP="00000000" w:rsidRDefault="00000000" w:rsidRPr="00000000" w14:paraId="000000C9">
            <w:pPr>
              <w:widowControl w:val="0"/>
              <w:numPr>
                <w:ilvl w:val="0"/>
                <w:numId w:val="3"/>
              </w:numPr>
              <w:tabs>
                <w:tab w:val="left" w:leader="none" w:pos="1080"/>
              </w:tabs>
              <w:spacing w:line="240" w:lineRule="auto"/>
              <w:ind w:left="502" w:hanging="360"/>
              <w:jc w:val="center"/>
              <w:rPr>
                <w:rFonts w:ascii="Times New Roman" w:cs="Times New Roman" w:eastAsia="Times New Roman" w:hAnsi="Times New Roman"/>
                <w:b w:val="1"/>
                <w:sz w:val="24"/>
                <w:szCs w:val="24"/>
                <w:u w:val="single"/>
              </w:rPr>
            </w:pPr>
            <w:r w:rsidDel="00000000" w:rsidR="00000000" w:rsidRPr="00000000">
              <w:rPr>
                <w:rtl w:val="0"/>
              </w:rPr>
            </w:r>
          </w:p>
        </w:tc>
        <w:tc>
          <w:tcPr>
            <w:shd w:fill="auto" w:val="clear"/>
          </w:tcPr>
          <w:p w:rsidR="00000000" w:rsidDel="00000000" w:rsidP="00000000" w:rsidRDefault="00000000" w:rsidRPr="00000000" w14:paraId="000000CA">
            <w:pPr>
              <w:spacing w:line="240" w:lineRule="auto"/>
              <w:ind w:firstLine="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закупівлі.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trPr>
          <w:cantSplit w:val="0"/>
          <w:trHeight w:val="1243" w:hRule="atLeast"/>
          <w:tblHeader w:val="0"/>
        </w:trPr>
        <w:tc>
          <w:tcPr/>
          <w:p w:rsidR="00000000" w:rsidDel="00000000" w:rsidP="00000000" w:rsidRDefault="00000000" w:rsidRPr="00000000" w14:paraId="000000CB">
            <w:pPr>
              <w:widowControl w:val="0"/>
              <w:numPr>
                <w:ilvl w:val="0"/>
                <w:numId w:val="3"/>
              </w:numPr>
              <w:tabs>
                <w:tab w:val="left" w:leader="none" w:pos="1080"/>
              </w:tabs>
              <w:spacing w:line="240" w:lineRule="auto"/>
              <w:ind w:left="502" w:right="-107" w:hanging="360"/>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C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r>
        <w:trPr>
          <w:cantSplit w:val="0"/>
          <w:trHeight w:val="224" w:hRule="atLeast"/>
          <w:tblHeader w:val="0"/>
        </w:trPr>
        <w:tc>
          <w:tcPr/>
          <w:p w:rsidR="00000000" w:rsidDel="00000000" w:rsidP="00000000" w:rsidRDefault="00000000" w:rsidRPr="00000000" w14:paraId="000000CD">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Pr>
          <w:p w:rsidR="00000000" w:rsidDel="00000000" w:rsidP="00000000" w:rsidRDefault="00000000" w:rsidRPr="00000000" w14:paraId="000000CE">
            <w:pPr>
              <w:spacing w:line="240" w:lineRule="auto"/>
              <w:ind w:firstLine="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 гарантія в довільній формі про постачання необхідної кількості товару встановленої потужності, у відповідності до вимог Додатку 3 до Документації.</w:t>
            </w:r>
          </w:p>
        </w:tc>
      </w:tr>
      <w:tr>
        <w:trPr>
          <w:cantSplit w:val="0"/>
          <w:trHeight w:val="451" w:hRule="atLeast"/>
          <w:tblHeader w:val="0"/>
        </w:trPr>
        <w:tc>
          <w:tcPr/>
          <w:p w:rsidR="00000000" w:rsidDel="00000000" w:rsidP="00000000" w:rsidRDefault="00000000" w:rsidRPr="00000000" w14:paraId="000000CF">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Pr>
          <w:p w:rsidR="00000000" w:rsidDel="00000000" w:rsidP="00000000" w:rsidRDefault="00000000" w:rsidRPr="00000000" w14:paraId="000000D0">
            <w:pPr>
              <w:widowControl w:val="0"/>
              <w:tabs>
                <w:tab w:val="left" w:leader="none" w:pos="108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Копія Свідоцтва про реєстрацію платника ПДВ або копія Витягу з реєстру платників податку на додану вартість </w:t>
            </w:r>
            <w:r w:rsidDel="00000000" w:rsidR="00000000" w:rsidRPr="00000000">
              <w:rPr>
                <w:rFonts w:ascii="Times New Roman" w:cs="Times New Roman" w:eastAsia="Times New Roman" w:hAnsi="Times New Roman"/>
                <w:i w:val="1"/>
                <w:sz w:val="24"/>
                <w:szCs w:val="24"/>
                <w:rtl w:val="0"/>
              </w:rPr>
              <w:t xml:space="preserve">(для платників ПДВ).</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D1">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Pr>
          <w:p w:rsidR="00000000" w:rsidDel="00000000" w:rsidP="00000000" w:rsidRDefault="00000000" w:rsidRPr="00000000" w14:paraId="000000D2">
            <w:pPr>
              <w:widowControl w:val="0"/>
              <w:tabs>
                <w:tab w:val="left" w:leader="none" w:pos="-252"/>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Копія Свідоцтва платника єдиного податку або копія Витягу з реєстру платників єдиного податку (</w:t>
            </w:r>
            <w:r w:rsidDel="00000000" w:rsidR="00000000" w:rsidRPr="00000000">
              <w:rPr>
                <w:rFonts w:ascii="Times New Roman" w:cs="Times New Roman" w:eastAsia="Times New Roman" w:hAnsi="Times New Roman"/>
                <w:i w:val="1"/>
                <w:sz w:val="24"/>
                <w:szCs w:val="24"/>
                <w:rtl w:val="0"/>
              </w:rPr>
              <w:t xml:space="preserve">для платників єдиного податку</w:t>
            </w:r>
            <w:r w:rsidDel="00000000" w:rsidR="00000000" w:rsidRPr="00000000">
              <w:rPr>
                <w:rFonts w:ascii="Times New Roman" w:cs="Times New Roman" w:eastAsia="Times New Roman" w:hAnsi="Times New Roman"/>
                <w:sz w:val="24"/>
                <w:szCs w:val="24"/>
                <w:rtl w:val="0"/>
              </w:rPr>
              <w:t xml:space="preserve">).</w:t>
            </w:r>
          </w:p>
        </w:tc>
      </w:tr>
      <w:tr>
        <w:trPr>
          <w:cantSplit w:val="0"/>
          <w:trHeight w:val="364" w:hRule="atLeast"/>
          <w:tblHeader w:val="0"/>
        </w:trPr>
        <w:tc>
          <w:tcPr/>
          <w:p w:rsidR="00000000" w:rsidDel="00000000" w:rsidP="00000000" w:rsidRDefault="00000000" w:rsidRPr="00000000" w14:paraId="000000D3">
            <w:pPr>
              <w:widowControl w:val="0"/>
              <w:tabs>
                <w:tab w:val="left" w:leader="none" w:pos="1080"/>
              </w:tabs>
              <w:spacing w:line="240" w:lineRule="auto"/>
              <w:ind w:left="-142" w:right="-10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Pr>
          <w:p w:rsidR="00000000" w:rsidDel="00000000" w:rsidP="00000000" w:rsidRDefault="00000000" w:rsidRPr="00000000" w14:paraId="000000D4">
            <w:pPr>
              <w:widowControl w:val="0"/>
              <w:spacing w:line="240" w:lineRule="auto"/>
              <w:ind w:right="11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trPr>
          <w:cantSplit w:val="0"/>
          <w:trHeight w:val="865" w:hRule="atLeast"/>
          <w:tblHeader w:val="0"/>
        </w:trPr>
        <w:tc>
          <w:tcPr/>
          <w:p w:rsidR="00000000" w:rsidDel="00000000" w:rsidP="00000000" w:rsidRDefault="00000000" w:rsidRPr="00000000" w14:paraId="000000D5">
            <w:pPr>
              <w:spacing w:after="160" w:line="259"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w:t>
            </w:r>
          </w:p>
        </w:tc>
        <w:tc>
          <w:tcPr>
            <w:shd w:fill="auto" w:val="clear"/>
          </w:tcPr>
          <w:p w:rsidR="00000000" w:rsidDel="00000000" w:rsidP="00000000" w:rsidRDefault="00000000" w:rsidRPr="00000000" w14:paraId="000000D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Копія Статуту в останньої (діючої) редакції або іншого установчого документу (</w:t>
            </w:r>
            <w:r w:rsidDel="00000000" w:rsidR="00000000" w:rsidRPr="00000000">
              <w:rPr>
                <w:rFonts w:ascii="Times New Roman" w:cs="Times New Roman" w:eastAsia="Times New Roman" w:hAnsi="Times New Roman"/>
                <w:i w:val="1"/>
                <w:sz w:val="24"/>
                <w:szCs w:val="24"/>
                <w:rtl w:val="0"/>
              </w:rPr>
              <w:t xml:space="preserve">вимога встановлюється до Учасників - юридичних осіб</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950" w:hRule="atLeast"/>
          <w:tblHeader w:val="0"/>
        </w:trPr>
        <w:tc>
          <w:tcPr/>
          <w:p w:rsidR="00000000" w:rsidDel="00000000" w:rsidP="00000000" w:rsidRDefault="00000000" w:rsidRPr="00000000" w14:paraId="000000D7">
            <w:pPr>
              <w:shd w:fill="ffffff" w:val="clea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D8">
            <w:pPr>
              <w:shd w:fill="ffffff" w:val="clear"/>
              <w:spacing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Довідка/Інформація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Del="00000000" w:rsidR="00000000" w:rsidRPr="00000000">
              <w:rPr>
                <w:rtl w:val="0"/>
              </w:rPr>
            </w:r>
          </w:p>
        </w:tc>
      </w:tr>
      <w:tr>
        <w:trPr>
          <w:cantSplit w:val="0"/>
          <w:trHeight w:val="1729" w:hRule="atLeast"/>
          <w:tblHeader w:val="0"/>
        </w:trPr>
        <w:tc>
          <w:tcPr/>
          <w:p w:rsidR="00000000" w:rsidDel="00000000" w:rsidP="00000000" w:rsidRDefault="00000000" w:rsidRPr="00000000" w14:paraId="000000D9">
            <w:pPr>
              <w:spacing w:after="160" w:line="259"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w:t>
            </w:r>
          </w:p>
          <w:p w:rsidR="00000000" w:rsidDel="00000000" w:rsidP="00000000" w:rsidRDefault="00000000" w:rsidRPr="00000000" w14:paraId="000000DA">
            <w:pPr>
              <w:spacing w:after="160" w:line="259"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B">
            <w:pPr>
              <w:spacing w:after="160" w:line="259"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C">
            <w:pPr>
              <w:shd w:fill="ffffff" w:val="clear"/>
              <w:spacing w:line="240" w:lineRule="auto"/>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r w:rsidDel="00000000" w:rsidR="00000000" w:rsidRPr="00000000">
              <w:rPr>
                <w:rtl w:val="0"/>
              </w:rPr>
            </w:r>
          </w:p>
        </w:tc>
      </w:tr>
      <w:tr>
        <w:trPr>
          <w:cantSplit w:val="0"/>
          <w:trHeight w:val="1411" w:hRule="atLeast"/>
          <w:tblHeader w:val="0"/>
        </w:trPr>
        <w:tc>
          <w:tcPr/>
          <w:p w:rsidR="00000000" w:rsidDel="00000000" w:rsidP="00000000" w:rsidRDefault="00000000" w:rsidRPr="00000000" w14:paraId="000000DD">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w:t>
            </w:r>
            <w:r w:rsidDel="00000000" w:rsidR="00000000" w:rsidRPr="00000000">
              <w:rPr>
                <w:rtl w:val="0"/>
              </w:rPr>
            </w:r>
          </w:p>
          <w:p w:rsidR="00000000" w:rsidDel="00000000" w:rsidP="00000000" w:rsidRDefault="00000000" w:rsidRPr="00000000" w14:paraId="000000DE">
            <w:pPr>
              <w:spacing w:after="160" w:line="259"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повинен надати гарантійний лист, про те, що Учасник гарантує,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w:t>
            </w:r>
          </w:p>
        </w:tc>
      </w:tr>
    </w:tbl>
    <w:p w:rsidR="00000000" w:rsidDel="00000000" w:rsidP="00000000" w:rsidRDefault="00000000" w:rsidRPr="00000000" w14:paraId="000000E0">
      <w:pPr>
        <w:spacing w:after="160" w:line="259"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E1">
      <w:pPr>
        <w:spacing w:after="160" w:before="120" w:line="259"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ДОКУМЕНТИ ДЛЯ ПІДТВЕРДЖЕННЯ ВІДПОВІДНОСТІ ПРОПОЗИЦІЇ ПЕРЕМОЖЦЯ ВИМОГАМ, ВИЗНАЧЕНИМ У СТАТТІ   17   ЗАКОНУ</w:t>
      </w:r>
    </w:p>
    <w:tbl>
      <w:tblPr>
        <w:tblStyle w:val="Table8"/>
        <w:tblW w:w="9930.0" w:type="dxa"/>
        <w:jc w:val="left"/>
        <w:tblInd w:w="-179.00000000000006" w:type="dxa"/>
        <w:tblLayout w:type="fixed"/>
        <w:tblLook w:val="0000"/>
      </w:tblPr>
      <w:tblGrid>
        <w:gridCol w:w="720"/>
        <w:gridCol w:w="4275"/>
        <w:gridCol w:w="4935"/>
        <w:tblGridChange w:id="0">
          <w:tblGrid>
            <w:gridCol w:w="720"/>
            <w:gridCol w:w="4275"/>
            <w:gridCol w:w="4935"/>
          </w:tblGrid>
        </w:tblGridChange>
      </w:tblGrid>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2">
            <w:pP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p>
        </w:tc>
        <w:tc>
          <w:tcPr>
            <w:tcBorders>
              <w:top w:color="000000" w:space="0" w:sz="8" w:val="single"/>
              <w:left w:color="000000" w:space="0" w:sz="8" w:val="single"/>
              <w:bottom w:color="000000" w:space="0" w:sz="4" w:val="single"/>
              <w:right w:color="000000" w:space="0" w:sz="8" w:val="single"/>
            </w:tcBorders>
            <w:shd w:fill="ffffff" w:val="clear"/>
            <w:tcMar>
              <w:left w:w="108.0" w:type="dxa"/>
              <w:right w:w="108.0" w:type="dxa"/>
            </w:tcMar>
          </w:tcPr>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r w:rsidDel="00000000" w:rsidR="00000000" w:rsidRPr="00000000">
              <w:rPr>
                <w:rtl w:val="0"/>
              </w:rPr>
            </w:r>
          </w:p>
        </w:tc>
        <w:tc>
          <w:tcPr>
            <w:tcBorders>
              <w:top w:color="000000" w:space="0" w:sz="8" w:val="single"/>
              <w:left w:color="000000" w:space="0" w:sz="6" w:val="single"/>
              <w:bottom w:color="000000" w:space="0" w:sz="4" w:val="single"/>
              <w:right w:color="000000" w:space="0" w:sz="8" w:val="single"/>
            </w:tcBorders>
            <w:shd w:fill="ffffff" w:val="clear"/>
            <w:tcMar>
              <w:left w:w="108.0" w:type="dxa"/>
              <w:right w:w="108.0" w:type="dxa"/>
            </w:tcMar>
          </w:tcPr>
          <w:p w:rsidR="00000000" w:rsidDel="00000000" w:rsidP="00000000" w:rsidRDefault="00000000" w:rsidRPr="00000000" w14:paraId="000000E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Переможець на виконання вимоги статті 17 Закону повинен надати інформацію, викладену нижче</w:t>
            </w:r>
          </w:p>
        </w:tc>
      </w:tr>
      <w:tr>
        <w:trPr>
          <w:cantSplit w:val="0"/>
          <w:trHeight w:val="98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tc>
        <w:tc>
          <w:tcPr>
            <w:tcBorders>
              <w:top w:color="000000" w:space="0" w:sz="4" w:val="single"/>
              <w:left w:color="000000" w:space="0" w:sz="8" w:val="single"/>
              <w:bottom w:color="000000" w:space="0" w:sz="4" w:val="single"/>
              <w:right w:color="000000" w:space="0" w:sz="8" w:val="single"/>
            </w:tcBorders>
            <w:shd w:fill="ffffff" w:val="clear"/>
            <w:tcMar>
              <w:left w:w="108.0" w:type="dxa"/>
              <w:right w:w="108.0" w:type="dxa"/>
            </w:tcMar>
          </w:tcPr>
          <w:p w:rsidR="00000000" w:rsidDel="00000000" w:rsidP="00000000" w:rsidRDefault="00000000" w:rsidRPr="00000000" w14:paraId="000000E6">
            <w:pPr>
              <w:spacing w:line="240" w:lineRule="auto"/>
              <w:ind w:left="34"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Borders>
              <w:top w:color="000000" w:space="0" w:sz="4"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E7">
            <w:pPr>
              <w:spacing w:line="240" w:lineRule="auto"/>
              <w:ind w:left="-44"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8">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c>
          <w:tcPr>
            <w:tcBorders>
              <w:top w:color="000000" w:space="0" w:sz="4"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E9">
            <w:pPr>
              <w:spacing w:line="240" w:lineRule="auto"/>
              <w:ind w:left="34" w:hanging="142"/>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Del="00000000" w:rsidR="00000000" w:rsidRPr="00000000">
              <w:rPr>
                <w:rFonts w:ascii="Times New Roman" w:cs="Times New Roman" w:eastAsia="Times New Roman" w:hAnsi="Times New Roman"/>
                <w:b w:val="1"/>
                <w:sz w:val="24"/>
                <w:szCs w:val="24"/>
                <w:highlight w:val="white"/>
                <w:rtl w:val="0"/>
              </w:rPr>
              <w:t xml:space="preserve">за вчинення корупційного правопорушення  або правопорушення, пов’язаного з корупцією </w:t>
            </w:r>
          </w:p>
          <w:p w:rsidR="00000000" w:rsidDel="00000000" w:rsidP="00000000" w:rsidRDefault="00000000" w:rsidRPr="00000000" w14:paraId="000000EA">
            <w:pPr>
              <w:spacing w:line="240" w:lineRule="auto"/>
              <w:ind w:left="34" w:hanging="1.00000000000000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 3 ч. 1 ст. 17 Закону)</w:t>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000000" w:rsidDel="00000000" w:rsidP="00000000" w:rsidRDefault="00000000" w:rsidRPr="00000000" w14:paraId="000000E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або за запитом Замовника з метою уточнення інформації, що знаходиться у вільному доступі.</w:t>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tc>
      </w:tr>
      <w:tr>
        <w:trPr>
          <w:cantSplit w:val="0"/>
          <w:trHeight w:val="168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E">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w:t>
            </w:r>
          </w:p>
        </w:tc>
        <w:tc>
          <w:tcPr>
            <w:tcBorders>
              <w:top w:color="000000" w:space="0" w:sz="6"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EF">
            <w:pPr>
              <w:spacing w:line="240" w:lineRule="auto"/>
              <w:ind w:left="34" w:right="3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Del="00000000" w:rsidR="00000000" w:rsidRPr="00000000">
              <w:rPr>
                <w:rtl w:val="0"/>
              </w:rPr>
            </w:r>
          </w:p>
          <w:p w:rsidR="00000000" w:rsidDel="00000000" w:rsidP="00000000" w:rsidRDefault="00000000" w:rsidRPr="00000000" w14:paraId="000000F0">
            <w:pPr>
              <w:spacing w:line="240" w:lineRule="auto"/>
              <w:ind w:left="34" w:right="33"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(п. 4 ч. 1 ст. 17 Закону)</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8"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3">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000000" w:rsidDel="00000000" w:rsidP="00000000" w:rsidRDefault="00000000" w:rsidRPr="00000000" w14:paraId="000000F4">
            <w:pPr>
              <w:spacing w:line="240" w:lineRule="auto"/>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highlight w:val="white"/>
                <w:rtl w:val="0"/>
              </w:rPr>
              <w:t xml:space="preserve">(п. 5 ч.1 ст. 17 Закону)</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фізична особа, яка є учасником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 Онлайн замовлення витягу в електронному вигляді можна здійснити на сайті Міністерства внутрішніх справ України – https://vytiah.mvs.gov.ua ; </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w:t>
            </w:r>
          </w:p>
        </w:tc>
        <w:tc>
          <w:tcPr>
            <w:tcBorders>
              <w:top w:color="000000" w:space="0" w:sz="6" w:val="single"/>
              <w:left w:color="000000" w:space="0" w:sz="4"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 6 ч.1  ст. 17 Закону)</w:t>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не більше тридцятиденної давнини від дати подання документа.</w:t>
            </w:r>
          </w:p>
          <w:p w:rsidR="00000000" w:rsidDel="00000000" w:rsidP="00000000" w:rsidRDefault="00000000" w:rsidRPr="00000000" w14:paraId="000000F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Онлайн замовлення витягу в електронному вигляді можна здійснити на сайті Міністерства внутрішніх справ України – https://vytiah.mvs.gov.ua ;</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w:t>
            </w:r>
          </w:p>
        </w:tc>
        <w:tc>
          <w:tcPr>
            <w:tcBorders>
              <w:top w:color="000000" w:space="0" w:sz="6" w:val="single"/>
              <w:left w:color="000000" w:space="0" w:sz="4"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Учасник процедури закупівлі визначений у встановленому законом порядку банкрутом та стосовно нього відкрита ліквідаційна процедура</w:t>
            </w:r>
          </w:p>
          <w:p w:rsidR="00000000" w:rsidDel="00000000" w:rsidP="00000000" w:rsidRDefault="00000000" w:rsidRPr="00000000" w14:paraId="000000F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(п.8 ч.1 ст. Закону)</w:t>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0F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Замовник не вимагає</w:t>
            </w:r>
          </w:p>
        </w:tc>
      </w:tr>
      <w:tr>
        <w:trPr>
          <w:cantSplit w:val="0"/>
          <w:trHeight w:val="97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w:t>
            </w:r>
          </w:p>
        </w:tc>
        <w:tc>
          <w:tcPr>
            <w:tcBorders>
              <w:top w:color="000000" w:space="0" w:sz="6" w:val="single"/>
              <w:left w:color="000000" w:space="0" w:sz="4"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100">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Del="00000000" w:rsidR="00000000" w:rsidRPr="00000000">
              <w:rPr>
                <w:rFonts w:ascii="Times New Roman" w:cs="Times New Roman" w:eastAsia="Times New Roman" w:hAnsi="Times New Roman"/>
                <w:b w:val="1"/>
                <w:sz w:val="24"/>
                <w:szCs w:val="24"/>
                <w:highlight w:val="white"/>
                <w:rtl w:val="0"/>
              </w:rPr>
              <w:t xml:space="preserve">(крім нерезидентів)</w:t>
            </w:r>
            <w:r w:rsidDel="00000000" w:rsidR="00000000" w:rsidRPr="00000000">
              <w:rPr>
                <w:rtl w:val="0"/>
              </w:rPr>
            </w:r>
          </w:p>
          <w:p w:rsidR="00000000" w:rsidDel="00000000" w:rsidP="00000000" w:rsidRDefault="00000000" w:rsidRPr="00000000" w14:paraId="0000010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 9 ч. 1 ст. 17 Закону)</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shd w:fill="ffffff" w:val="clear"/>
            <w:tcMar>
              <w:left w:w="108.0" w:type="dxa"/>
              <w:right w:w="108.0" w:type="dxa"/>
            </w:tcMar>
          </w:tcPr>
          <w:p w:rsidR="00000000" w:rsidDel="00000000" w:rsidP="00000000" w:rsidRDefault="00000000" w:rsidRPr="00000000" w14:paraId="0000010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10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00000" w:rsidDel="00000000" w:rsidP="00000000" w:rsidRDefault="00000000" w:rsidRPr="00000000" w14:paraId="000001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(п.11 ч.1 ст.17 Закону)</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1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10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0000" w:rsidDel="00000000" w:rsidP="00000000" w:rsidRDefault="00000000" w:rsidRPr="00000000" w14:paraId="0000010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(п.12 ч.1 ст.17 Закону)</w:t>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1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не більше тридцятиденної давнини від дати подання документа. Онлайн замовлення витягу в електронному вигляді можна здійснити на сайті Міністерства внутрішніх справ України – https://vytiah.mvs.gov.ua ;</w:t>
            </w:r>
          </w:p>
          <w:p w:rsidR="00000000" w:rsidDel="00000000" w:rsidP="00000000" w:rsidRDefault="00000000" w:rsidRPr="00000000" w14:paraId="000001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Довідка в довільній формі</w:t>
            </w:r>
            <w:r w:rsidDel="00000000" w:rsidR="00000000" w:rsidRPr="00000000">
              <w:rPr>
                <w:rFonts w:ascii="Times New Roman" w:cs="Times New Roman" w:eastAsia="Times New Roman" w:hAnsi="Times New Roman"/>
                <w:sz w:val="24"/>
                <w:szCs w:val="24"/>
                <w:rtl w:val="0"/>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cantSplit w:val="0"/>
          <w:trHeight w:val="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6" w:val="single"/>
              <w:left w:color="000000" w:space="0" w:sz="8"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10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000" w:rsidDel="00000000" w:rsidP="00000000" w:rsidRDefault="00000000" w:rsidRPr="00000000" w14:paraId="0000010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(ч.2 ст.17 Закону)</w:t>
            </w:r>
          </w:p>
        </w:tc>
        <w:tc>
          <w:tcPr>
            <w:tcBorders>
              <w:top w:color="000000" w:space="0" w:sz="6" w:val="single"/>
              <w:left w:color="000000" w:space="0" w:sz="6" w:val="single"/>
              <w:bottom w:color="000000" w:space="0" w:sz="6" w:val="single"/>
              <w:right w:color="000000" w:space="0" w:sz="8" w:val="single"/>
            </w:tcBorders>
            <w:shd w:fill="ffffff" w:val="clear"/>
            <w:tcMar>
              <w:left w:w="108.0" w:type="dxa"/>
              <w:right w:w="108.0" w:type="dxa"/>
            </w:tcMar>
          </w:tcPr>
          <w:p w:rsidR="00000000" w:rsidDel="00000000" w:rsidP="00000000" w:rsidRDefault="00000000" w:rsidRPr="00000000" w14:paraId="0000010F">
            <w:pPr>
              <w:spacing w:line="240" w:lineRule="auto"/>
              <w:ind w:left="34" w:right="47"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Інформація про відсутність підстави надається за підписом уповноваженої особи та завірена печаткою (у разі її використання) в довільній формі.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00000" w:rsidDel="00000000" w:rsidP="00000000" w:rsidRDefault="00000000" w:rsidRPr="00000000" w14:paraId="00000110">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Якщо замовник вважає таке підтвердження достатнім, учаснику не може бути відмовлено в участі в процедурі закупівлі  </w:t>
            </w:r>
          </w:p>
        </w:tc>
      </w:tr>
    </w:tbl>
    <w:p w:rsidR="00000000" w:rsidDel="00000000" w:rsidP="00000000" w:rsidRDefault="00000000" w:rsidRPr="00000000" w14:paraId="0000011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підтверджує відсутність підстав, що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11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що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000000" w:rsidDel="00000000" w:rsidP="00000000" w:rsidRDefault="00000000" w:rsidRPr="00000000" w14:paraId="00000113">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76"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4</w:t>
      </w:r>
    </w:p>
    <w:p w:rsidR="00000000" w:rsidDel="00000000" w:rsidP="00000000" w:rsidRDefault="00000000" w:rsidRPr="00000000" w14:paraId="00000117">
      <w:pPr>
        <w:spacing w:line="276"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118">
      <w:pPr>
        <w:spacing w:line="276"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24 січня 2023 року № 05/01-В</w:t>
      </w:r>
      <w:r w:rsidDel="00000000" w:rsidR="00000000" w:rsidRPr="00000000">
        <w:rPr>
          <w:rtl w:val="0"/>
        </w:rPr>
      </w:r>
    </w:p>
    <w:p w:rsidR="00000000" w:rsidDel="00000000" w:rsidP="00000000" w:rsidRDefault="00000000" w:rsidRPr="00000000" w14:paraId="00000119">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Перелік змін, що вносяться до п. 13.7 та п. 13.9 Проекту Договору в Додатку 4 до Тендерної документації</w:t>
      </w:r>
    </w:p>
    <w:p w:rsidR="00000000" w:rsidDel="00000000" w:rsidP="00000000" w:rsidRDefault="00000000" w:rsidRPr="00000000" w14:paraId="0000011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11E">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4</w:t>
      </w:r>
    </w:p>
    <w:p w:rsidR="00000000" w:rsidDel="00000000" w:rsidP="00000000" w:rsidRDefault="00000000" w:rsidRPr="00000000" w14:paraId="0000011F">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тендерної документації</w:t>
      </w:r>
    </w:p>
    <w:p w:rsidR="00000000" w:rsidDel="00000000" w:rsidP="00000000" w:rsidRDefault="00000000" w:rsidRPr="00000000" w14:paraId="00000120">
      <w:pPr>
        <w:spacing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ДОГОВОРУ …</w:t>
      </w:r>
    </w:p>
    <w:p w:rsidR="00000000" w:rsidDel="00000000" w:rsidP="00000000" w:rsidRDefault="00000000" w:rsidRPr="00000000" w14:paraId="00000122">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 Істотні умови договору не можуть змінюватися після його підписання до виконання зобов'язань Сторонами в повному обсязі, крім випадків:</w:t>
      </w:r>
    </w:p>
    <w:p w:rsidR="00000000" w:rsidDel="00000000" w:rsidP="00000000" w:rsidRDefault="00000000" w:rsidRPr="00000000" w14:paraId="00000123">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13.7.1. Зменшення обсягів закупівлі, зокрема з урахуванням фактичного обсягу видатків замовника.</w:t>
      </w:r>
    </w:p>
    <w:p w:rsidR="00000000" w:rsidDel="00000000" w:rsidP="00000000" w:rsidRDefault="00000000" w:rsidRPr="00000000" w14:paraId="00000124">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 не частіше ніж один раз на 90 днів з моменту підписання даного Договору/внесення змін до даного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00000" w:rsidDel="00000000" w:rsidP="00000000" w:rsidRDefault="00000000" w:rsidRPr="00000000" w14:paraId="00000125">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коливання ціни за одиницю Товару на ринку Постачальник письмово звертається до Споживача щодо внесення відповідних змін до Договору. Наявність факту коливання ціни Товару на ринку підтверджується довідками або завіреними копіями довідок щодо ціни Товару на момент укладання Договору та на момент звернення до органів, установ, організацій, які уповноважені надавати інформацію щодо коливання ціни Товару на ринку.</w:t>
      </w:r>
    </w:p>
    <w:p w:rsidR="00000000" w:rsidDel="00000000" w:rsidP="00000000" w:rsidRDefault="00000000" w:rsidRPr="00000000" w14:paraId="00000126">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Підвищення ціни за одиницю товару по даному Договору здійснюється шляхом підписання додаткових угод та з урахуванням вимог п. 2 ч.5 ст. 41 Закону України «Про публічні закупівлі». </w:t>
      </w:r>
    </w:p>
    <w:p w:rsidR="00000000" w:rsidDel="00000000" w:rsidP="00000000" w:rsidRDefault="00000000" w:rsidRPr="00000000" w14:paraId="00000127">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rsidR="00000000" w:rsidDel="00000000" w:rsidP="00000000" w:rsidRDefault="00000000" w:rsidRPr="00000000" w14:paraId="00000128">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13.7.3. Покращення якості предмета закупівлі, за умови що таке покращення не призведе до збільшення суми, визначеної в даному договорі.</w:t>
      </w:r>
    </w:p>
    <w:p w:rsidR="00000000" w:rsidDel="00000000" w:rsidP="00000000" w:rsidRDefault="00000000" w:rsidRPr="00000000" w14:paraId="00000129">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000000" w:rsidDel="00000000" w:rsidP="00000000" w:rsidRDefault="00000000" w:rsidRPr="00000000" w14:paraId="0000012A">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000000" w:rsidDel="00000000" w:rsidP="00000000" w:rsidRDefault="00000000" w:rsidRPr="00000000" w14:paraId="0000012B">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00000" w:rsidDel="00000000" w:rsidP="00000000" w:rsidRDefault="00000000" w:rsidRPr="00000000" w14:paraId="0000012C">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13.7.7. Зміни встановленого згідно із законодавством органами державної статистики індексу інфляції, зміни біржових котирувань або показників Platts, ARGUS,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
    <w:p w:rsidR="00000000" w:rsidDel="00000000" w:rsidP="00000000" w:rsidRDefault="00000000" w:rsidRPr="00000000" w14:paraId="0000012D">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даному договорі застосовуються наступні регульовані ціни (тарифи): тариф на послуги з передачі електричної енергії НЕК «Укренерго», які затверджуються Постановами НКРЕКП.</w:t>
      </w:r>
    </w:p>
    <w:p w:rsidR="00000000" w:rsidDel="00000000" w:rsidP="00000000" w:rsidRDefault="00000000" w:rsidRPr="00000000" w14:paraId="0000012E">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Такі зміни до договору вносяться шляхом підписання додаткових угод, які починають діяти з моменту набрання чинності відповідних Постанов НКРЕКП.</w:t>
      </w:r>
    </w:p>
    <w:p w:rsidR="00000000" w:rsidDel="00000000" w:rsidP="00000000" w:rsidRDefault="00000000" w:rsidRPr="00000000" w14:paraId="0000012F">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(текст без змін)</w:t>
      </w:r>
    </w:p>
    <w:p w:rsidR="00000000" w:rsidDel="00000000" w:rsidP="00000000" w:rsidRDefault="00000000" w:rsidRPr="00000000" w14:paraId="00000130">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 Договір є нікчемним у разі:</w:t>
      </w:r>
    </w:p>
    <w:p w:rsidR="00000000" w:rsidDel="00000000" w:rsidP="00000000" w:rsidRDefault="00000000" w:rsidRPr="00000000" w14:paraId="00000131">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якщо замовник уклав договір до/без проведення процедури закупівлі/ спрощеної закупівлі згідно з вимогами цього Закону;</w:t>
      </w:r>
    </w:p>
    <w:p w:rsidR="00000000" w:rsidDel="00000000" w:rsidP="00000000" w:rsidRDefault="00000000" w:rsidRPr="00000000" w14:paraId="00000132">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укладення договору з порушенням вимог частини четвертої статті 41 цього Закону;</w:t>
      </w:r>
    </w:p>
    <w:p w:rsidR="00000000" w:rsidDel="00000000" w:rsidP="00000000" w:rsidRDefault="00000000" w:rsidRPr="00000000" w14:paraId="00000133">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укладення договору в період оскарження процедури закупівлі відповідно до статті 18 цього Закону;</w:t>
      </w:r>
    </w:p>
    <w:p w:rsidR="00000000" w:rsidDel="00000000" w:rsidP="00000000" w:rsidRDefault="00000000" w:rsidRPr="00000000" w14:paraId="00000134">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000000" w:rsidDel="00000000" w:rsidP="00000000" w:rsidRDefault="00000000" w:rsidRPr="00000000" w14:paraId="000001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138">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4</w:t>
      </w:r>
    </w:p>
    <w:p w:rsidR="00000000" w:rsidDel="00000000" w:rsidP="00000000" w:rsidRDefault="00000000" w:rsidRPr="00000000" w14:paraId="00000139">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тендерної документації</w:t>
      </w:r>
    </w:p>
    <w:p w:rsidR="00000000" w:rsidDel="00000000" w:rsidP="00000000" w:rsidRDefault="00000000" w:rsidRPr="00000000" w14:paraId="0000013A">
      <w:pPr>
        <w:spacing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ДОГОВОРУ …</w:t>
      </w:r>
    </w:p>
    <w:p w:rsidR="00000000" w:rsidDel="00000000" w:rsidP="00000000" w:rsidRDefault="00000000" w:rsidRPr="00000000" w14:paraId="0000013C">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0000" w:rsidDel="00000000" w:rsidP="00000000" w:rsidRDefault="00000000" w:rsidRPr="00000000" w14:paraId="0000013D">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13.7.1. зменшення обсягів закупівлі, зокрема з урахуванням фактичного обсягу видатків замовника;</w:t>
      </w:r>
    </w:p>
    <w:p w:rsidR="00000000" w:rsidDel="00000000" w:rsidP="00000000" w:rsidRDefault="00000000" w:rsidRPr="00000000" w14:paraId="0000013E">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0000" w:rsidDel="00000000" w:rsidP="00000000" w:rsidRDefault="00000000" w:rsidRPr="00000000" w14:paraId="0000013F">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13.7.3. 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140">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141">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13.7.5. погодження зміни ціни в договорі про закупівлю в бік зменшення (без зміни кількості (обсягу) та якості товарів, робіт і послуг);</w:t>
      </w:r>
    </w:p>
    <w:p w:rsidR="00000000" w:rsidDel="00000000" w:rsidP="00000000" w:rsidRDefault="00000000" w:rsidRPr="00000000" w14:paraId="00000142">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0000" w:rsidDel="00000000" w:rsidP="00000000" w:rsidRDefault="00000000" w:rsidRPr="00000000" w14:paraId="00000143">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0000" w:rsidDel="00000000" w:rsidP="00000000" w:rsidRDefault="00000000" w:rsidRPr="00000000" w14:paraId="00000144">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13.7.8. зміни умов у зв’язку із застосуванням положень </w:t>
      </w:r>
      <w:hyperlink r:id="rId14">
        <w:r w:rsidDel="00000000" w:rsidR="00000000" w:rsidRPr="00000000">
          <w:rPr>
            <w:rFonts w:ascii="Times New Roman" w:cs="Times New Roman" w:eastAsia="Times New Roman" w:hAnsi="Times New Roman"/>
            <w:sz w:val="24"/>
            <w:szCs w:val="24"/>
            <w:u w:val="single"/>
            <w:rtl w:val="0"/>
          </w:rPr>
          <w:t xml:space="preserve">частини шостої</w:t>
        </w:r>
      </w:hyperlink>
      <w:r w:rsidDel="00000000" w:rsidR="00000000" w:rsidRPr="00000000">
        <w:rPr>
          <w:rFonts w:ascii="Times New Roman" w:cs="Times New Roman" w:eastAsia="Times New Roman" w:hAnsi="Times New Roman"/>
          <w:sz w:val="24"/>
          <w:szCs w:val="24"/>
          <w:rtl w:val="0"/>
        </w:rPr>
        <w:t xml:space="preserve"> статті 41 Закону України “Про публічні закупівлі”.</w:t>
      </w:r>
    </w:p>
    <w:p w:rsidR="00000000" w:rsidDel="00000000" w:rsidP="00000000" w:rsidRDefault="00000000" w:rsidRPr="00000000" w14:paraId="00000145">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Такі зміни до договору вносяться шляхом підписання додаткових угод, які починають діяти з моменту набрання чинності відповідних Постанов НКРЕКП.</w:t>
      </w:r>
    </w:p>
    <w:p w:rsidR="00000000" w:rsidDel="00000000" w:rsidP="00000000" w:rsidRDefault="00000000" w:rsidRPr="00000000" w14:paraId="00000146">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(текст без змін)</w:t>
      </w:r>
    </w:p>
    <w:p w:rsidR="00000000" w:rsidDel="00000000" w:rsidP="00000000" w:rsidRDefault="00000000" w:rsidRPr="00000000" w14:paraId="00000147">
      <w:pPr>
        <w:widowControl w:val="0"/>
        <w:spacing w:line="240" w:lineRule="auto"/>
        <w:ind w:left="-567" w:right="-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 Договір є нікчемним у разі:</w:t>
      </w:r>
    </w:p>
    <w:p w:rsidR="00000000" w:rsidDel="00000000" w:rsidP="00000000" w:rsidRDefault="00000000" w:rsidRPr="00000000" w14:paraId="00000148">
      <w:pPr>
        <w:widowControl w:val="0"/>
        <w:numPr>
          <w:ilvl w:val="0"/>
          <w:numId w:val="5"/>
        </w:numPr>
        <w:spacing w:line="240" w:lineRule="auto"/>
        <w:ind w:left="720" w:right="-3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замовник уклав договір про закупівлю з порушенням вимог, визначених </w:t>
      </w:r>
      <w:hyperlink r:id="rId15">
        <w:r w:rsidDel="00000000" w:rsidR="00000000" w:rsidRPr="00000000">
          <w:rPr>
            <w:rFonts w:ascii="Times New Roman" w:cs="Times New Roman" w:eastAsia="Times New Roman" w:hAnsi="Times New Roman"/>
            <w:sz w:val="24"/>
            <w:szCs w:val="24"/>
            <w:rtl w:val="0"/>
          </w:rPr>
          <w:t xml:space="preserve">пунктом 5</w:t>
        </w:r>
      </w:hyperlink>
      <w:r w:rsidDel="00000000" w:rsidR="00000000" w:rsidRPr="00000000">
        <w:rPr>
          <w:rFonts w:ascii="Times New Roman" w:cs="Times New Roman" w:eastAsia="Times New Roman" w:hAnsi="Times New Roman"/>
          <w:sz w:val="24"/>
          <w:szCs w:val="24"/>
          <w:rtl w:val="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000000" w:rsidDel="00000000" w:rsidP="00000000" w:rsidRDefault="00000000" w:rsidRPr="00000000" w14:paraId="00000149">
      <w:pPr>
        <w:widowControl w:val="0"/>
        <w:numPr>
          <w:ilvl w:val="0"/>
          <w:numId w:val="5"/>
        </w:numPr>
        <w:spacing w:line="240" w:lineRule="auto"/>
        <w:ind w:left="720" w:right="-3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укладення договору про закупівлю з порушенням вимог </w:t>
      </w:r>
      <w:hyperlink r:id="rId16">
        <w:r w:rsidDel="00000000" w:rsidR="00000000" w:rsidRPr="00000000">
          <w:rPr>
            <w:rFonts w:ascii="Times New Roman" w:cs="Times New Roman" w:eastAsia="Times New Roman" w:hAnsi="Times New Roman"/>
            <w:sz w:val="24"/>
            <w:szCs w:val="24"/>
            <w:rtl w:val="0"/>
          </w:rPr>
          <w:t xml:space="preserve">пункту 18</w:t>
        </w:r>
      </w:hyperlink>
      <w:r w:rsidDel="00000000" w:rsidR="00000000" w:rsidRPr="00000000">
        <w:rPr>
          <w:rFonts w:ascii="Times New Roman" w:cs="Times New Roman" w:eastAsia="Times New Roman" w:hAnsi="Times New Roman"/>
          <w:sz w:val="24"/>
          <w:szCs w:val="24"/>
          <w:rtl w:val="0"/>
        </w:rPr>
        <w:t xml:space="preserve"> Особливостей;</w:t>
      </w:r>
    </w:p>
    <w:p w:rsidR="00000000" w:rsidDel="00000000" w:rsidP="00000000" w:rsidRDefault="00000000" w:rsidRPr="00000000" w14:paraId="0000014A">
      <w:pPr>
        <w:widowControl w:val="0"/>
        <w:numPr>
          <w:ilvl w:val="0"/>
          <w:numId w:val="5"/>
        </w:numPr>
        <w:spacing w:line="240" w:lineRule="auto"/>
        <w:ind w:left="720" w:right="-3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укладення договору про закупівлю в період оскарження відкритих торгів відповідно до </w:t>
      </w:r>
      <w:hyperlink r:id="rId17">
        <w:r w:rsidDel="00000000" w:rsidR="00000000" w:rsidRPr="00000000">
          <w:rPr>
            <w:rFonts w:ascii="Times New Roman" w:cs="Times New Roman" w:eastAsia="Times New Roman" w:hAnsi="Times New Roman"/>
            <w:sz w:val="24"/>
            <w:szCs w:val="24"/>
            <w:rtl w:val="0"/>
          </w:rPr>
          <w:t xml:space="preserve">статті 18</w:t>
        </w:r>
      </w:hyperlink>
      <w:r w:rsidDel="00000000" w:rsidR="00000000" w:rsidRPr="00000000">
        <w:rPr>
          <w:rFonts w:ascii="Times New Roman" w:cs="Times New Roman" w:eastAsia="Times New Roman" w:hAnsi="Times New Roman"/>
          <w:sz w:val="24"/>
          <w:szCs w:val="24"/>
          <w:rtl w:val="0"/>
        </w:rPr>
        <w:t xml:space="preserve"> Закону України “Про публічні закупівлі” та Особливостей;</w:t>
      </w:r>
    </w:p>
    <w:p w:rsidR="00000000" w:rsidDel="00000000" w:rsidP="00000000" w:rsidRDefault="00000000" w:rsidRPr="00000000" w14:paraId="0000014B">
      <w:pPr>
        <w:widowControl w:val="0"/>
        <w:numPr>
          <w:ilvl w:val="0"/>
          <w:numId w:val="5"/>
        </w:numPr>
        <w:spacing w:line="240" w:lineRule="auto"/>
        <w:ind w:left="720" w:right="-3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укладення договору з порушенням строків, передбачених абзацами </w:t>
      </w:r>
      <w:hyperlink r:id="rId18">
        <w:r w:rsidDel="00000000" w:rsidR="00000000" w:rsidRPr="00000000">
          <w:rPr>
            <w:rFonts w:ascii="Times New Roman" w:cs="Times New Roman" w:eastAsia="Times New Roman" w:hAnsi="Times New Roman"/>
            <w:sz w:val="24"/>
            <w:szCs w:val="24"/>
            <w:rtl w:val="0"/>
          </w:rPr>
          <w:t xml:space="preserve">третім</w:t>
        </w:r>
      </w:hyperlink>
      <w:r w:rsidDel="00000000" w:rsidR="00000000" w:rsidRPr="00000000">
        <w:rPr>
          <w:rFonts w:ascii="Times New Roman" w:cs="Times New Roman" w:eastAsia="Times New Roman" w:hAnsi="Times New Roman"/>
          <w:sz w:val="24"/>
          <w:szCs w:val="24"/>
          <w:rtl w:val="0"/>
        </w:rPr>
        <w:t xml:space="preserve"> та </w:t>
      </w:r>
      <w:hyperlink r:id="rId19">
        <w:r w:rsidDel="00000000" w:rsidR="00000000" w:rsidRPr="00000000">
          <w:rPr>
            <w:rFonts w:ascii="Times New Roman" w:cs="Times New Roman" w:eastAsia="Times New Roman" w:hAnsi="Times New Roman"/>
            <w:sz w:val="24"/>
            <w:szCs w:val="24"/>
            <w:rtl w:val="0"/>
          </w:rPr>
          <w:t xml:space="preserve">четвертим</w:t>
        </w:r>
      </w:hyperlink>
      <w:r w:rsidDel="00000000" w:rsidR="00000000" w:rsidRPr="00000000">
        <w:rPr>
          <w:rFonts w:ascii="Times New Roman" w:cs="Times New Roman" w:eastAsia="Times New Roman" w:hAnsi="Times New Roman"/>
          <w:sz w:val="24"/>
          <w:szCs w:val="24"/>
          <w:rtl w:val="0"/>
        </w:rPr>
        <w:t xml:space="preserve"> пункту 46 Особливостей, крім випадків зупинення перебігу строків у зв’язку з розглядом скарги органом оскарження відповідно до </w:t>
      </w:r>
      <w:hyperlink r:id="rId20">
        <w:r w:rsidDel="00000000" w:rsidR="00000000" w:rsidRPr="00000000">
          <w:rPr>
            <w:rFonts w:ascii="Times New Roman" w:cs="Times New Roman" w:eastAsia="Times New Roman" w:hAnsi="Times New Roman"/>
            <w:sz w:val="24"/>
            <w:szCs w:val="24"/>
            <w:rtl w:val="0"/>
          </w:rPr>
          <w:t xml:space="preserve">статті 18</w:t>
        </w:r>
      </w:hyperlink>
      <w:r w:rsidDel="00000000" w:rsidR="00000000" w:rsidRPr="00000000">
        <w:rPr>
          <w:rFonts w:ascii="Times New Roman" w:cs="Times New Roman" w:eastAsia="Times New Roman" w:hAnsi="Times New Roman"/>
          <w:sz w:val="24"/>
          <w:szCs w:val="24"/>
          <w:rtl w:val="0"/>
        </w:rPr>
        <w:t xml:space="preserve"> Закону України “Про публічні закупівлі” з урахуванням Особливостей;</w:t>
      </w:r>
    </w:p>
    <w:p w:rsidR="00000000" w:rsidDel="00000000" w:rsidP="00000000" w:rsidRDefault="00000000" w:rsidRPr="00000000" w14:paraId="0000014C">
      <w:pPr>
        <w:widowControl w:val="0"/>
        <w:numPr>
          <w:ilvl w:val="0"/>
          <w:numId w:val="5"/>
        </w:numPr>
        <w:spacing w:line="240" w:lineRule="auto"/>
        <w:ind w:left="720" w:right="-30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000000" w:rsidDel="00000000" w:rsidP="00000000" w:rsidRDefault="00000000" w:rsidRPr="00000000" w14:paraId="0000014D">
      <w:pPr>
        <w:spacing w:line="240" w:lineRule="auto"/>
        <w:ind w:left="-567" w:right="-30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50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zakon.rada.gov.ua/laws/show/922-19#n1284" TargetMode="External"/><Relationship Id="rId11" Type="http://schemas.openxmlformats.org/officeDocument/2006/relationships/hyperlink" Target="http://wanted.mvs.gov.ua/test/" TargetMode="External"/><Relationship Id="rId10" Type="http://schemas.openxmlformats.org/officeDocument/2006/relationships/hyperlink" Target="http://wanted.mvs.gov.ua/test/" TargetMode="External"/><Relationship Id="rId13" Type="http://schemas.openxmlformats.org/officeDocument/2006/relationships/hyperlink" Target="https://usr.minjust.gov.ua/ua/freesearch" TargetMode="External"/><Relationship Id="rId12" Type="http://schemas.openxmlformats.org/officeDocument/2006/relationships/hyperlink" Target="http://kap.minjust.gov.ua/services/regist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c.gov.ua" TargetMode="External"/><Relationship Id="rId15" Type="http://schemas.openxmlformats.org/officeDocument/2006/relationships/hyperlink" Target="https://zakon.rada.gov.ua/laws/show/1178-2022-%D0%BF#n24" TargetMode="External"/><Relationship Id="rId14" Type="http://schemas.openxmlformats.org/officeDocument/2006/relationships/hyperlink" Target="https://zakon.rada.gov.ua/laws/show/922-19#n1778" TargetMode="External"/><Relationship Id="rId17" Type="http://schemas.openxmlformats.org/officeDocument/2006/relationships/hyperlink" Target="https://zakon.rada.gov.ua/laws/show/922-19#n1284" TargetMode="External"/><Relationship Id="rId16" Type="http://schemas.openxmlformats.org/officeDocument/2006/relationships/hyperlink" Target="https://zakon.rada.gov.ua/laws/show/1178-2022-%D0%BF#n69" TargetMode="External"/><Relationship Id="rId5" Type="http://schemas.openxmlformats.org/officeDocument/2006/relationships/styles" Target="styles.xml"/><Relationship Id="rId19" Type="http://schemas.openxmlformats.org/officeDocument/2006/relationships/hyperlink" Target="https://zakon.rada.gov.ua/laws/show/1178-2022-%D0%BF#n170" TargetMode="External"/><Relationship Id="rId6" Type="http://schemas.openxmlformats.org/officeDocument/2006/relationships/customXml" Target="../customXML/item1.xml"/><Relationship Id="rId18" Type="http://schemas.openxmlformats.org/officeDocument/2006/relationships/hyperlink" Target="https://zakon.rada.gov.ua/laws/show/1178-2022-%D0%BF#n169" TargetMode="External"/><Relationship Id="rId7" Type="http://schemas.openxmlformats.org/officeDocument/2006/relationships/hyperlink" Target="https://corruptinfo.nazk.gov.ua/" TargetMode="External"/><Relationship Id="rId8" Type="http://schemas.openxmlformats.org/officeDocument/2006/relationships/hyperlink" Target="https://corruptinfo.nazk.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KZtmSDMO2uBZ6HDH2RODrToJeQ==">AMUW2mUEIlJ3yA3ZNdp03sfezStoZ3SMlcVeQP1gV45zxfc6CjMcAP2HQladIuqnbWQzpoAsxffCNpCyI9xrb5qjDojPs4Co5prjIb5GeoNBUmkq1HkuBMGjbSS/dM+CIH5OJCSerhvAiOk3rHfCS2aA9wqhDUp4HWJRQsxqbKm73IRSJi03l4/07iFq97xInouZDsp8u0eK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