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C62DC9">
              <w:rPr>
                <w:rFonts w:ascii="Times New Roman" w:hAnsi="Times New Roman" w:cs="Times New Roman"/>
                <w:b/>
                <w:bCs/>
                <w:sz w:val="24"/>
                <w:szCs w:val="24"/>
              </w:rPr>
              <w:t xml:space="preserve">13 </w:t>
            </w:r>
            <w:bookmarkStart w:id="0" w:name="_GoBack"/>
            <w:bookmarkEnd w:id="0"/>
            <w:r w:rsidR="00C62DC9">
              <w:rPr>
                <w:rFonts w:ascii="Times New Roman" w:hAnsi="Times New Roman" w:cs="Times New Roman"/>
                <w:b/>
                <w:bCs/>
                <w:sz w:val="24"/>
                <w:szCs w:val="24"/>
              </w:rPr>
              <w:t>(ЗМІНИ)</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C62DC9">
              <w:rPr>
                <w:rFonts w:ascii="Times New Roman" w:hAnsi="Times New Roman" w:cs="Times New Roman"/>
                <w:b/>
                <w:sz w:val="24"/>
                <w:szCs w:val="24"/>
              </w:rPr>
              <w:t>17</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1B67D4">
              <w:rPr>
                <w:rFonts w:ascii="Times New Roman" w:hAnsi="Times New Roman" w:cs="Times New Roman"/>
                <w:b/>
                <w:sz w:val="24"/>
                <w:szCs w:val="24"/>
              </w:rPr>
              <w:t>січня</w:t>
            </w:r>
            <w:r w:rsidRPr="00105D24">
              <w:rPr>
                <w:rFonts w:ascii="Times New Roman" w:hAnsi="Times New Roman" w:cs="Times New Roman"/>
                <w:b/>
                <w:sz w:val="24"/>
                <w:szCs w:val="24"/>
              </w:rPr>
              <w:t xml:space="preserve">  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E04FF7" w:rsidRDefault="00CB471C" w:rsidP="00E04FF7">
      <w:pPr>
        <w:pStyle w:val="afa"/>
        <w:ind w:left="284"/>
        <w:jc w:val="center"/>
        <w:rPr>
          <w:rFonts w:ascii="Times New Roman" w:eastAsia="Times New Roman" w:hAnsi="Times New Roman" w:cs="Times New Roman"/>
          <w:b/>
          <w:bCs/>
          <w:i/>
          <w:sz w:val="24"/>
          <w:szCs w:val="24"/>
          <w:lang w:eastAsia="zh-CN"/>
        </w:rPr>
      </w:pPr>
      <w:r w:rsidRPr="00CB471C">
        <w:rPr>
          <w:rFonts w:ascii="Times New Roman" w:hAnsi="Times New Roman" w:cs="Times New Roman"/>
          <w:bCs/>
          <w:color w:val="000000"/>
          <w:sz w:val="24"/>
          <w:szCs w:val="24"/>
          <w:lang w:eastAsia="en-US"/>
        </w:rPr>
        <w:t>Предмет закупівлі</w:t>
      </w:r>
      <w:r w:rsidRPr="00E04FF7">
        <w:rPr>
          <w:rFonts w:ascii="Times New Roman" w:hAnsi="Times New Roman" w:cs="Times New Roman"/>
          <w:b/>
          <w:bCs/>
          <w:i/>
          <w:color w:val="000000"/>
          <w:sz w:val="24"/>
          <w:szCs w:val="24"/>
          <w:lang w:eastAsia="en-US"/>
        </w:rPr>
        <w:t xml:space="preserve">: </w:t>
      </w:r>
      <w:r w:rsidR="00E04FF7" w:rsidRPr="00E04FF7">
        <w:rPr>
          <w:rFonts w:ascii="Times New Roman" w:eastAsia="Times New Roman" w:hAnsi="Times New Roman" w:cs="Times New Roman"/>
          <w:b/>
          <w:bCs/>
          <w:i/>
          <w:sz w:val="24"/>
          <w:szCs w:val="24"/>
          <w:lang w:eastAsia="zh-CN"/>
        </w:rPr>
        <w:t xml:space="preserve">«Картопля, бобові» </w:t>
      </w:r>
    </w:p>
    <w:p w:rsidR="00E04FF7" w:rsidRPr="00E04FF7" w:rsidRDefault="00E04FF7" w:rsidP="00E04FF7">
      <w:pPr>
        <w:pStyle w:val="afa"/>
        <w:ind w:left="284"/>
        <w:jc w:val="center"/>
        <w:rPr>
          <w:rFonts w:ascii="Times New Roman" w:eastAsia="Times New Roman" w:hAnsi="Times New Roman" w:cs="Times New Roman"/>
          <w:b/>
          <w:i/>
          <w:sz w:val="24"/>
          <w:szCs w:val="24"/>
          <w:lang w:eastAsia="zh-CN"/>
        </w:rPr>
      </w:pPr>
      <w:r w:rsidRPr="00E04FF7">
        <w:rPr>
          <w:rFonts w:ascii="Times New Roman" w:eastAsia="Times New Roman" w:hAnsi="Times New Roman" w:cs="Times New Roman"/>
          <w:b/>
          <w:bCs/>
          <w:i/>
          <w:sz w:val="24"/>
          <w:szCs w:val="24"/>
          <w:lang w:eastAsia="zh-CN"/>
        </w:rPr>
        <w:t>(ДК 021:2015- 03210000-6: Зернові культури та картопля)</w:t>
      </w:r>
    </w:p>
    <w:p w:rsidR="00E23309" w:rsidRPr="00E04FF7" w:rsidRDefault="00E23309" w:rsidP="00E04FF7">
      <w:pPr>
        <w:tabs>
          <w:tab w:val="left" w:pos="0"/>
          <w:tab w:val="left" w:pos="567"/>
          <w:tab w:val="left" w:pos="851"/>
        </w:tabs>
        <w:spacing w:after="0" w:line="0" w:lineRule="atLeast"/>
        <w:jc w:val="center"/>
        <w:rPr>
          <w:rFonts w:ascii="Times New Roman" w:eastAsia="Times New Roman" w:hAnsi="Times New Roman" w:cs="Times New Roman"/>
          <w:b/>
          <w:i/>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1" w:name="_heading=h.1fob9te" w:colFirst="0" w:colLast="0"/>
      <w:bookmarkEnd w:id="1"/>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E04FF7" w:rsidRDefault="00E04FF7"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E04FF7" w:rsidRPr="00E04FF7" w:rsidRDefault="00E04FF7" w:rsidP="00E04FF7">
            <w:pPr>
              <w:jc w:val="center"/>
              <w:rPr>
                <w:rFonts w:ascii="Times New Roman" w:eastAsia="Times New Roman" w:hAnsi="Times New Roman" w:cs="Times New Roman"/>
                <w:b/>
                <w:bCs/>
                <w:i/>
                <w:sz w:val="24"/>
                <w:szCs w:val="24"/>
                <w:lang w:eastAsia="ar-SA"/>
              </w:rPr>
            </w:pPr>
            <w:r w:rsidRPr="00E04FF7">
              <w:rPr>
                <w:rFonts w:ascii="Times New Roman" w:eastAsia="Times New Roman" w:hAnsi="Times New Roman" w:cs="Times New Roman"/>
                <w:b/>
                <w:bCs/>
                <w:i/>
                <w:sz w:val="24"/>
                <w:szCs w:val="24"/>
                <w:lang w:eastAsia="ar-SA"/>
              </w:rPr>
              <w:t xml:space="preserve">«Картопля, бобові» </w:t>
            </w:r>
          </w:p>
          <w:p w:rsidR="00105D24" w:rsidRPr="000914FB" w:rsidRDefault="00E04FF7" w:rsidP="00E04FF7">
            <w:pPr>
              <w:jc w:val="center"/>
              <w:rPr>
                <w:rFonts w:ascii="Times New Roman" w:hAnsi="Times New Roman"/>
                <w:b/>
                <w:i/>
                <w:sz w:val="24"/>
                <w:szCs w:val="24"/>
              </w:rPr>
            </w:pPr>
            <w:r w:rsidRPr="00E04FF7">
              <w:rPr>
                <w:rFonts w:ascii="Times New Roman" w:eastAsia="Times New Roman" w:hAnsi="Times New Roman" w:cs="Times New Roman"/>
                <w:b/>
                <w:bCs/>
                <w:i/>
                <w:sz w:val="24"/>
                <w:szCs w:val="24"/>
                <w:lang w:eastAsia="ar-SA"/>
              </w:rPr>
              <w:t>(ДК 021:2015- 03210000-6</w:t>
            </w:r>
            <w:r>
              <w:rPr>
                <w:rFonts w:ascii="Times New Roman" w:eastAsia="Times New Roman" w:hAnsi="Times New Roman" w:cs="Times New Roman"/>
                <w:b/>
                <w:bCs/>
                <w:i/>
                <w:sz w:val="24"/>
                <w:szCs w:val="24"/>
                <w:lang w:eastAsia="ar-SA"/>
              </w:rPr>
              <w:t>: Зернові культури та картопля)</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E04FF7"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582</w:t>
            </w:r>
            <w:r w:rsidR="00D16DE8">
              <w:rPr>
                <w:rFonts w:ascii="Times New Roman" w:eastAsia="Times New Roman" w:hAnsi="Times New Roman" w:cs="Times New Roman"/>
                <w:b/>
                <w:i/>
                <w:sz w:val="24"/>
                <w:szCs w:val="24"/>
              </w:rPr>
              <w:t> 000,00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п’ятсот вісімдесят дві</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Pr>
                <w:rFonts w:ascii="Times New Roman" w:eastAsia="Times New Roman" w:hAnsi="Times New Roman" w:cs="Times New Roman"/>
                <w:b/>
                <w:i/>
                <w:sz w:val="24"/>
                <w:szCs w:val="24"/>
              </w:rPr>
              <w:t>і</w:t>
            </w:r>
            <w:r w:rsidR="00F512CB">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E04FF7">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E04FF7">
              <w:rPr>
                <w:rFonts w:ascii="Times New Roman" w:eastAsia="Times New Roman" w:hAnsi="Times New Roman" w:cs="Times New Roman"/>
                <w:sz w:val="24"/>
                <w:szCs w:val="24"/>
              </w:rPr>
              <w:t>2910</w:t>
            </w:r>
            <w:r w:rsidR="00D16DE8">
              <w:rPr>
                <w:rFonts w:ascii="Times New Roman" w:eastAsia="Times New Roman" w:hAnsi="Times New Roman" w:cs="Times New Roman"/>
                <w:sz w:val="24"/>
                <w:szCs w:val="24"/>
              </w:rPr>
              <w:t>,00</w:t>
            </w:r>
            <w:r w:rsidR="0006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w:t>
            </w:r>
            <w:r w:rsidRPr="00FE3018">
              <w:rPr>
                <w:rFonts w:ascii="Times New Roman" w:eastAsia="Times New Roman" w:hAnsi="Times New Roman" w:cs="Times New Roman"/>
                <w:sz w:val="24"/>
                <w:szCs w:val="24"/>
              </w:rPr>
              <w:lastRenderedPageBreak/>
              <w:t xml:space="preserve">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Pr="00CB471C"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b/>
                <w:i/>
                <w:sz w:val="24"/>
                <w:szCs w:val="24"/>
              </w:rPr>
            </w:pPr>
            <w:r w:rsidRPr="00FE3018">
              <w:rPr>
                <w:rFonts w:ascii="Times New Roman" w:hAnsi="Times New Roman"/>
                <w:sz w:val="24"/>
                <w:szCs w:val="24"/>
              </w:rPr>
              <w:lastRenderedPageBreak/>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CB471C">
              <w:rPr>
                <w:rFonts w:ascii="Times New Roman" w:hAnsi="Times New Roman"/>
                <w:b/>
                <w:i/>
                <w:sz w:val="24"/>
                <w:szCs w:val="24"/>
              </w:rPr>
              <w:t xml:space="preserve">за </w:t>
            </w:r>
            <w:r w:rsidR="00CB471C" w:rsidRPr="00CB471C">
              <w:rPr>
                <w:rFonts w:ascii="Times New Roman" w:hAnsi="Times New Roman"/>
                <w:b/>
                <w:i/>
                <w:sz w:val="24"/>
                <w:szCs w:val="24"/>
              </w:rPr>
              <w:t xml:space="preserve">адресами </w:t>
            </w:r>
            <w:r w:rsidRPr="00CB471C">
              <w:rPr>
                <w:rFonts w:ascii="Times New Roman" w:hAnsi="Times New Roman"/>
                <w:b/>
                <w:i/>
                <w:sz w:val="24"/>
                <w:szCs w:val="24"/>
              </w:rPr>
              <w:t>закладів освіти згідно  Додатку №</w:t>
            </w:r>
            <w:r w:rsidR="00FC283B">
              <w:rPr>
                <w:rFonts w:ascii="Times New Roman" w:hAnsi="Times New Roman"/>
                <w:b/>
                <w:i/>
                <w:sz w:val="24"/>
                <w:szCs w:val="24"/>
              </w:rPr>
              <w:t>5</w:t>
            </w:r>
          </w:p>
          <w:p w:rsidR="00691724" w:rsidRPr="00E04FF7" w:rsidRDefault="00CB471C" w:rsidP="00E04FF7">
            <w:pPr>
              <w:widowControl w:val="0"/>
              <w:ind w:right="120"/>
              <w:jc w:val="both"/>
              <w:rPr>
                <w:rFonts w:ascii="Times New Roman" w:eastAsia="Times New Roman" w:hAnsi="Times New Roman" w:cs="Times New Roman"/>
                <w:color w:val="4A86E8"/>
                <w:sz w:val="24"/>
                <w:szCs w:val="24"/>
                <w:highlight w:val="white"/>
              </w:rPr>
            </w:pPr>
            <w:r w:rsidRPr="00E04FF7">
              <w:rPr>
                <w:rFonts w:ascii="Times New Roman" w:hAnsi="Times New Roman" w:cs="Times New Roman"/>
                <w:b/>
                <w:sz w:val="24"/>
                <w:szCs w:val="24"/>
              </w:rPr>
              <w:t>Кількість товару</w:t>
            </w:r>
            <w:r w:rsidR="00FE3018" w:rsidRPr="00E04FF7">
              <w:rPr>
                <w:rFonts w:ascii="Times New Roman" w:hAnsi="Times New Roman" w:cs="Times New Roman"/>
                <w:b/>
                <w:sz w:val="24"/>
                <w:szCs w:val="24"/>
              </w:rPr>
              <w:t>:</w:t>
            </w:r>
            <w:r w:rsidR="00FC283B" w:rsidRPr="00E04FF7">
              <w:rPr>
                <w:rFonts w:ascii="Times New Roman" w:hAnsi="Times New Roman" w:cs="Times New Roman"/>
                <w:b/>
                <w:sz w:val="24"/>
                <w:szCs w:val="24"/>
              </w:rPr>
              <w:t xml:space="preserve">  </w:t>
            </w:r>
            <w:r w:rsidR="00E04FF7" w:rsidRPr="00E04FF7">
              <w:rPr>
                <w:rFonts w:ascii="Times New Roman" w:hAnsi="Times New Roman" w:cs="Times New Roman"/>
                <w:sz w:val="24"/>
                <w:szCs w:val="24"/>
              </w:rPr>
              <w:t xml:space="preserve">картопля </w:t>
            </w:r>
            <w:r w:rsidR="00E04FF7">
              <w:rPr>
                <w:rFonts w:ascii="Times New Roman" w:hAnsi="Times New Roman" w:cs="Times New Roman"/>
                <w:sz w:val="24"/>
                <w:szCs w:val="24"/>
              </w:rPr>
              <w:t>–</w:t>
            </w:r>
            <w:r w:rsidR="00E04FF7" w:rsidRPr="00E04FF7">
              <w:rPr>
                <w:rFonts w:ascii="Times New Roman" w:eastAsia="Times New Roman" w:hAnsi="Times New Roman" w:cs="Times New Roman"/>
                <w:i/>
                <w:sz w:val="24"/>
                <w:szCs w:val="24"/>
                <w:highlight w:val="white"/>
              </w:rPr>
              <w:t xml:space="preserve"> </w:t>
            </w:r>
            <w:r w:rsidR="00E04FF7" w:rsidRPr="00E04FF7">
              <w:rPr>
                <w:rFonts w:ascii="Times New Roman" w:eastAsia="Times New Roman" w:hAnsi="Times New Roman" w:cs="Times New Roman"/>
                <w:sz w:val="24"/>
                <w:szCs w:val="24"/>
                <w:highlight w:val="white"/>
              </w:rPr>
              <w:t>30500</w:t>
            </w:r>
            <w:r w:rsidR="00E04FF7">
              <w:rPr>
                <w:rFonts w:ascii="Times New Roman" w:eastAsia="Times New Roman" w:hAnsi="Times New Roman" w:cs="Times New Roman"/>
                <w:sz w:val="24"/>
                <w:szCs w:val="24"/>
                <w:highlight w:val="white"/>
              </w:rPr>
              <w:t xml:space="preserve"> кг, квасоля сушена – 500 кг, горох сушений – 1100 кг, сочевиця – 400 кг</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E04FF7">
              <w:rPr>
                <w:rFonts w:ascii="Times New Roman" w:eastAsia="Times New Roman" w:hAnsi="Times New Roman" w:cs="Times New Roman"/>
                <w:sz w:val="24"/>
                <w:szCs w:val="24"/>
              </w:rPr>
              <w:t>зафiксований</w:t>
            </w:r>
            <w:proofErr w:type="spellEnd"/>
            <w:r w:rsidRPr="00E04FF7">
              <w:rPr>
                <w:rFonts w:ascii="Times New Roman" w:eastAsia="Times New Roman" w:hAnsi="Times New Roman" w:cs="Times New Roman"/>
                <w:sz w:val="24"/>
                <w:szCs w:val="24"/>
              </w:rPr>
              <w:t xml:space="preserve">, зокрема в одному або </w:t>
            </w:r>
            <w:proofErr w:type="spellStart"/>
            <w:r w:rsidRPr="00E04FF7">
              <w:rPr>
                <w:rFonts w:ascii="Times New Roman" w:eastAsia="Times New Roman" w:hAnsi="Times New Roman" w:cs="Times New Roman"/>
                <w:sz w:val="24"/>
                <w:szCs w:val="24"/>
              </w:rPr>
              <w:t>кiлькох</w:t>
            </w:r>
            <w:proofErr w:type="spellEnd"/>
            <w:r w:rsidRPr="00E04FF7">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Розмір забезпечення тендерної пропозиції становить 1</w:t>
            </w:r>
            <w:r>
              <w:rPr>
                <w:rFonts w:ascii="Times New Roman" w:eastAsia="Times New Roman" w:hAnsi="Times New Roman" w:cs="Times New Roman"/>
                <w:sz w:val="24"/>
                <w:szCs w:val="24"/>
              </w:rPr>
              <w:t xml:space="preserve">,5 </w:t>
            </w:r>
            <w:r w:rsidRPr="00E04FF7">
              <w:rPr>
                <w:rFonts w:ascii="Times New Roman" w:eastAsia="Times New Roman" w:hAnsi="Times New Roman" w:cs="Times New Roman"/>
                <w:sz w:val="24"/>
                <w:szCs w:val="24"/>
              </w:rPr>
              <w:t xml:space="preserve">%  від очікуваної вартості закупівлі -  </w:t>
            </w:r>
            <w:r>
              <w:rPr>
                <w:rFonts w:ascii="Times New Roman" w:eastAsia="Times New Roman" w:hAnsi="Times New Roman" w:cs="Times New Roman"/>
                <w:sz w:val="24"/>
                <w:szCs w:val="24"/>
              </w:rPr>
              <w:t xml:space="preserve">8 730,00 </w:t>
            </w:r>
            <w:r w:rsidRPr="00E04FF7">
              <w:rPr>
                <w:rFonts w:ascii="Times New Roman" w:eastAsia="Times New Roman" w:hAnsi="Times New Roman" w:cs="Times New Roman"/>
                <w:sz w:val="24"/>
                <w:szCs w:val="24"/>
              </w:rPr>
              <w:t>грн.</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Строк дії забезпечення  тендерної пропозиції учасника </w:t>
            </w:r>
            <w:r w:rsidRPr="00E04FF7">
              <w:rPr>
                <w:rFonts w:ascii="Times New Roman" w:eastAsia="Times New Roman" w:hAnsi="Times New Roman" w:cs="Times New Roman"/>
                <w:sz w:val="24"/>
                <w:szCs w:val="24"/>
              </w:rPr>
              <w:lastRenderedPageBreak/>
              <w:t>(банківської гарантії) має дорівнювати або перевищувати 90 (дев’яносто) днів із дати кінцевого строку подання тендерних пропозицій включно.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 уваги учасників інформація для оформлення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Місцезнаходження Замовника: 08302, Україна, Київська </w:t>
            </w:r>
            <w:r w:rsidRPr="00E04FF7">
              <w:rPr>
                <w:rFonts w:ascii="Times New Roman" w:eastAsia="Times New Roman" w:hAnsi="Times New Roman" w:cs="Times New Roman"/>
                <w:sz w:val="24"/>
                <w:szCs w:val="24"/>
              </w:rPr>
              <w:lastRenderedPageBreak/>
              <w:t>область, місто Бориспіль, вулиця Київський Шлях, 35.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Код ЄДРПОУ:05408355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р/р UA 988201720355159030082025303  </w:t>
            </w:r>
          </w:p>
          <w:p w:rsidR="00E23309" w:rsidRDefault="00E04FF7" w:rsidP="00E04FF7">
            <w:pPr>
              <w:widowControl w:val="0"/>
              <w:ind w:right="120"/>
              <w:jc w:val="both"/>
              <w:rPr>
                <w:rFonts w:ascii="Times New Roman" w:eastAsia="Times New Roman" w:hAnsi="Times New Roman" w:cs="Times New Roman"/>
                <w:color w:val="00B050"/>
                <w:sz w:val="24"/>
                <w:szCs w:val="24"/>
                <w:highlight w:val="white"/>
              </w:rPr>
            </w:pPr>
            <w:r w:rsidRPr="00E04FF7">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A04896"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C62DC9" w:rsidRPr="00C62DC9">
              <w:rPr>
                <w:rFonts w:ascii="Times New Roman" w:eastAsia="Times New Roman" w:hAnsi="Times New Roman" w:cs="Times New Roman"/>
                <w:b/>
                <w:i/>
                <w:color w:val="000000" w:themeColor="text1"/>
                <w:sz w:val="24"/>
                <w:szCs w:val="24"/>
                <w:u w:val="single"/>
              </w:rPr>
              <w:t>23.0</w:t>
            </w:r>
            <w:r w:rsidR="00C92819" w:rsidRPr="00C62DC9">
              <w:rPr>
                <w:rFonts w:ascii="Times New Roman" w:eastAsia="Times New Roman" w:hAnsi="Times New Roman" w:cs="Times New Roman"/>
                <w:b/>
                <w:i/>
                <w:color w:val="000000" w:themeColor="text1"/>
                <w:sz w:val="24"/>
                <w:szCs w:val="24"/>
                <w:u w:val="single"/>
              </w:rPr>
              <w:t>1.2024</w:t>
            </w:r>
            <w:r w:rsidR="00A04896" w:rsidRPr="00C62DC9">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lastRenderedPageBreak/>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61275">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E61275">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E5" w:rsidRDefault="00674AE5">
      <w:pPr>
        <w:spacing w:after="0" w:line="240" w:lineRule="auto"/>
      </w:pPr>
      <w:r>
        <w:separator/>
      </w:r>
    </w:p>
  </w:endnote>
  <w:endnote w:type="continuationSeparator" w:id="0">
    <w:p w:rsidR="00674AE5" w:rsidRDefault="0067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2D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E5" w:rsidRDefault="00674AE5">
      <w:pPr>
        <w:spacing w:after="0" w:line="240" w:lineRule="auto"/>
      </w:pPr>
      <w:r>
        <w:separator/>
      </w:r>
    </w:p>
  </w:footnote>
  <w:footnote w:type="continuationSeparator" w:id="0">
    <w:p w:rsidR="00674AE5" w:rsidRDefault="00674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1FD5"/>
    <w:rsid w:val="00060073"/>
    <w:rsid w:val="00063C79"/>
    <w:rsid w:val="000914FB"/>
    <w:rsid w:val="00105D24"/>
    <w:rsid w:val="00153B55"/>
    <w:rsid w:val="001552BA"/>
    <w:rsid w:val="001855EF"/>
    <w:rsid w:val="001B67D4"/>
    <w:rsid w:val="001E49A6"/>
    <w:rsid w:val="00224FBB"/>
    <w:rsid w:val="00233F58"/>
    <w:rsid w:val="00234ADB"/>
    <w:rsid w:val="002579A9"/>
    <w:rsid w:val="00274678"/>
    <w:rsid w:val="00296DAA"/>
    <w:rsid w:val="00297232"/>
    <w:rsid w:val="002C164C"/>
    <w:rsid w:val="002D4194"/>
    <w:rsid w:val="00307534"/>
    <w:rsid w:val="00357391"/>
    <w:rsid w:val="00363E77"/>
    <w:rsid w:val="003707C6"/>
    <w:rsid w:val="00391621"/>
    <w:rsid w:val="003A7E6A"/>
    <w:rsid w:val="003C2C47"/>
    <w:rsid w:val="003E39C3"/>
    <w:rsid w:val="004D19EF"/>
    <w:rsid w:val="004E2828"/>
    <w:rsid w:val="005019A4"/>
    <w:rsid w:val="00501C0D"/>
    <w:rsid w:val="00512E95"/>
    <w:rsid w:val="00533A75"/>
    <w:rsid w:val="00574B5E"/>
    <w:rsid w:val="005E5E21"/>
    <w:rsid w:val="006005C1"/>
    <w:rsid w:val="00610594"/>
    <w:rsid w:val="00615A23"/>
    <w:rsid w:val="006407BF"/>
    <w:rsid w:val="00674AE5"/>
    <w:rsid w:val="0068104F"/>
    <w:rsid w:val="00683B6C"/>
    <w:rsid w:val="00691724"/>
    <w:rsid w:val="006B5933"/>
    <w:rsid w:val="006B68FA"/>
    <w:rsid w:val="006C763E"/>
    <w:rsid w:val="006E0951"/>
    <w:rsid w:val="00730136"/>
    <w:rsid w:val="007439B1"/>
    <w:rsid w:val="007561E5"/>
    <w:rsid w:val="008156B2"/>
    <w:rsid w:val="00830360"/>
    <w:rsid w:val="00844B53"/>
    <w:rsid w:val="00860F67"/>
    <w:rsid w:val="00870C7D"/>
    <w:rsid w:val="008742A3"/>
    <w:rsid w:val="008F1DD8"/>
    <w:rsid w:val="00936155"/>
    <w:rsid w:val="00951528"/>
    <w:rsid w:val="009850B1"/>
    <w:rsid w:val="00A04896"/>
    <w:rsid w:val="00A40790"/>
    <w:rsid w:val="00A92127"/>
    <w:rsid w:val="00AC0FB3"/>
    <w:rsid w:val="00AE608F"/>
    <w:rsid w:val="00B1633D"/>
    <w:rsid w:val="00B44F0C"/>
    <w:rsid w:val="00BD6B11"/>
    <w:rsid w:val="00C62DC9"/>
    <w:rsid w:val="00C751EB"/>
    <w:rsid w:val="00C92819"/>
    <w:rsid w:val="00CB471C"/>
    <w:rsid w:val="00CC3F4D"/>
    <w:rsid w:val="00CE0070"/>
    <w:rsid w:val="00D06FEB"/>
    <w:rsid w:val="00D12711"/>
    <w:rsid w:val="00D1504C"/>
    <w:rsid w:val="00D16DE8"/>
    <w:rsid w:val="00D259C3"/>
    <w:rsid w:val="00D84CE6"/>
    <w:rsid w:val="00DC7720"/>
    <w:rsid w:val="00DF781C"/>
    <w:rsid w:val="00E04FF7"/>
    <w:rsid w:val="00E140C5"/>
    <w:rsid w:val="00E23309"/>
    <w:rsid w:val="00E301B4"/>
    <w:rsid w:val="00E61275"/>
    <w:rsid w:val="00E709E9"/>
    <w:rsid w:val="00E7318D"/>
    <w:rsid w:val="00EC5545"/>
    <w:rsid w:val="00EC668A"/>
    <w:rsid w:val="00ED05A8"/>
    <w:rsid w:val="00ED1B37"/>
    <w:rsid w:val="00ED1F92"/>
    <w:rsid w:val="00EE1C2F"/>
    <w:rsid w:val="00F35A41"/>
    <w:rsid w:val="00F375F4"/>
    <w:rsid w:val="00F512CB"/>
    <w:rsid w:val="00F96E8D"/>
    <w:rsid w:val="00FC283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83">
      <w:bodyDiv w:val="1"/>
      <w:marLeft w:val="0"/>
      <w:marRight w:val="0"/>
      <w:marTop w:val="0"/>
      <w:marBottom w:val="0"/>
      <w:divBdr>
        <w:top w:val="none" w:sz="0" w:space="0" w:color="auto"/>
        <w:left w:val="none" w:sz="0" w:space="0" w:color="auto"/>
        <w:bottom w:val="none" w:sz="0" w:space="0" w:color="auto"/>
        <w:right w:val="none" w:sz="0" w:space="0" w:color="auto"/>
      </w:divBdr>
    </w:div>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A9DA36-2944-4CD0-8714-F467A469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8970</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2</cp:revision>
  <cp:lastPrinted>2024-01-03T07:10:00Z</cp:lastPrinted>
  <dcterms:created xsi:type="dcterms:W3CDTF">2024-01-17T10:32:00Z</dcterms:created>
  <dcterms:modified xsi:type="dcterms:W3CDTF">2024-01-17T10:32:00Z</dcterms:modified>
</cp:coreProperties>
</file>